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64560">
      <w:pPr>
        <w:spacing w:before="156" w:beforeLines="50" w:after="156" w:afterLines="50" w:line="360" w:lineRule="auto"/>
        <w:jc w:val="center"/>
        <w:rPr>
          <w:b/>
          <w:sz w:val="36"/>
          <w:szCs w:val="30"/>
        </w:rPr>
      </w:pPr>
      <w:r>
        <w:rPr>
          <w:rFonts w:hint="eastAsia"/>
          <w:b/>
          <w:sz w:val="36"/>
          <w:szCs w:val="30"/>
        </w:rPr>
        <w:t>学生宿舍家具采购合同</w:t>
      </w:r>
    </w:p>
    <w:tbl>
      <w:tblPr>
        <w:tblStyle w:val="7"/>
        <w:tblW w:w="9285" w:type="dxa"/>
        <w:tblInd w:w="-108" w:type="dxa"/>
        <w:tblLayout w:type="fixed"/>
        <w:tblCellMar>
          <w:top w:w="0" w:type="dxa"/>
          <w:left w:w="0" w:type="dxa"/>
          <w:bottom w:w="0" w:type="dxa"/>
          <w:right w:w="0" w:type="dxa"/>
        </w:tblCellMar>
      </w:tblPr>
      <w:tblGrid>
        <w:gridCol w:w="4643"/>
        <w:gridCol w:w="4642"/>
      </w:tblGrid>
      <w:tr w14:paraId="36A1C775">
        <w:tblPrEx>
          <w:tblCellMar>
            <w:top w:w="0" w:type="dxa"/>
            <w:left w:w="0" w:type="dxa"/>
            <w:bottom w:w="0" w:type="dxa"/>
            <w:right w:w="0" w:type="dxa"/>
          </w:tblCellMar>
        </w:tblPrEx>
        <w:tc>
          <w:tcPr>
            <w:tcW w:w="4643" w:type="dxa"/>
          </w:tcPr>
          <w:p w14:paraId="1177DE78">
            <w:pPr>
              <w:autoSpaceDE w:val="0"/>
              <w:autoSpaceDN w:val="0"/>
              <w:adjustRightInd w:val="0"/>
              <w:spacing w:line="360" w:lineRule="auto"/>
              <w:ind w:firstLine="120" w:firstLineChars="50"/>
              <w:jc w:val="left"/>
              <w:rPr>
                <w:rFonts w:ascii="宋体"/>
                <w:color w:val="000000"/>
                <w:sz w:val="24"/>
                <w:szCs w:val="21"/>
                <w:lang w:val="zh-CN"/>
              </w:rPr>
            </w:pPr>
            <w:r>
              <w:rPr>
                <w:rFonts w:hint="eastAsia" w:ascii="宋体"/>
                <w:color w:val="000000"/>
                <w:sz w:val="24"/>
                <w:lang w:val="zh-CN"/>
              </w:rPr>
              <w:t>采购人：南京特殊教育师范学院</w:t>
            </w:r>
          </w:p>
        </w:tc>
        <w:tc>
          <w:tcPr>
            <w:tcW w:w="4643" w:type="dxa"/>
          </w:tcPr>
          <w:p w14:paraId="7754C130">
            <w:pPr>
              <w:autoSpaceDE w:val="0"/>
              <w:autoSpaceDN w:val="0"/>
              <w:adjustRightInd w:val="0"/>
              <w:spacing w:line="360" w:lineRule="auto"/>
              <w:jc w:val="left"/>
              <w:rPr>
                <w:rFonts w:ascii="宋体"/>
                <w:color w:val="000000"/>
                <w:sz w:val="24"/>
                <w:szCs w:val="21"/>
                <w:lang w:val="zh-CN"/>
              </w:rPr>
            </w:pPr>
            <w:r>
              <w:rPr>
                <w:rFonts w:hint="eastAsia" w:ascii="宋体"/>
                <w:color w:val="000000"/>
                <w:sz w:val="24"/>
                <w:lang w:val="zh-CN"/>
              </w:rPr>
              <w:t>供应商：</w:t>
            </w:r>
          </w:p>
        </w:tc>
      </w:tr>
      <w:tr w14:paraId="51FBD506">
        <w:tblPrEx>
          <w:tblCellMar>
            <w:top w:w="0" w:type="dxa"/>
            <w:left w:w="0" w:type="dxa"/>
            <w:bottom w:w="0" w:type="dxa"/>
            <w:right w:w="0" w:type="dxa"/>
          </w:tblCellMar>
        </w:tblPrEx>
        <w:tc>
          <w:tcPr>
            <w:tcW w:w="4643" w:type="dxa"/>
          </w:tcPr>
          <w:p w14:paraId="2B05AE6D">
            <w:pPr>
              <w:autoSpaceDE w:val="0"/>
              <w:autoSpaceDN w:val="0"/>
              <w:adjustRightInd w:val="0"/>
              <w:spacing w:line="360" w:lineRule="auto"/>
              <w:ind w:firstLine="120" w:firstLineChars="50"/>
              <w:jc w:val="left"/>
              <w:rPr>
                <w:color w:val="000000"/>
                <w:sz w:val="24"/>
                <w:szCs w:val="21"/>
              </w:rPr>
            </w:pPr>
            <w:r>
              <w:rPr>
                <w:rFonts w:hint="eastAsia" w:ascii="宋体"/>
                <w:color w:val="000000"/>
                <w:sz w:val="24"/>
                <w:lang w:val="zh-CN"/>
              </w:rPr>
              <w:t>住所地：</w:t>
            </w:r>
          </w:p>
        </w:tc>
        <w:tc>
          <w:tcPr>
            <w:tcW w:w="4643" w:type="dxa"/>
          </w:tcPr>
          <w:p w14:paraId="11788E11">
            <w:pPr>
              <w:autoSpaceDE w:val="0"/>
              <w:autoSpaceDN w:val="0"/>
              <w:adjustRightInd w:val="0"/>
              <w:spacing w:line="360" w:lineRule="auto"/>
              <w:jc w:val="left"/>
              <w:rPr>
                <w:rFonts w:ascii="宋体"/>
                <w:color w:val="000000"/>
                <w:sz w:val="24"/>
                <w:szCs w:val="21"/>
              </w:rPr>
            </w:pPr>
            <w:r>
              <w:rPr>
                <w:rFonts w:hint="eastAsia" w:ascii="宋体"/>
                <w:color w:val="000000"/>
                <w:sz w:val="24"/>
                <w:lang w:val="zh-CN"/>
              </w:rPr>
              <w:t>住所地</w:t>
            </w:r>
          </w:p>
        </w:tc>
      </w:tr>
    </w:tbl>
    <w:p w14:paraId="3556C7E0">
      <w:pPr>
        <w:spacing w:line="360" w:lineRule="auto"/>
        <w:ind w:firstLine="480" w:firstLineChars="200"/>
        <w:rPr>
          <w:color w:val="000000"/>
          <w:sz w:val="24"/>
          <w:szCs w:val="21"/>
        </w:rPr>
      </w:pPr>
      <w:r>
        <w:rPr>
          <w:rFonts w:hint="eastAsia" w:ascii="宋体" w:hAnsi="宋体" w:cs="等线"/>
          <w:sz w:val="24"/>
        </w:rPr>
        <w:t>根据《中华人民共和国政府采购法》《中华人民共和国民法典》等法律法规的规定，甲乙双方根据</w:t>
      </w:r>
      <w:r>
        <w:rPr>
          <w:rFonts w:hint="eastAsia" w:ascii="宋体" w:hAnsi="宋体" w:cs="等线"/>
          <w:sz w:val="24"/>
          <w:u w:val="single"/>
        </w:rPr>
        <w:t xml:space="preserve"> </w:t>
      </w:r>
      <w:r>
        <w:rPr>
          <w:rFonts w:hint="eastAsia" w:ascii="宋体" w:hAnsi="宋体" w:cs="等线"/>
          <w:sz w:val="24"/>
          <w:u w:val="single"/>
          <w:lang w:val="en-US" w:eastAsia="zh-CN"/>
        </w:rPr>
        <w:t xml:space="preserve">  </w:t>
      </w:r>
      <w:r>
        <w:rPr>
          <w:rFonts w:hint="eastAsia" w:ascii="宋体" w:hAnsi="宋体" w:cs="等线"/>
          <w:sz w:val="24"/>
          <w:u w:val="single"/>
        </w:rPr>
        <w:t xml:space="preserve"> </w:t>
      </w:r>
      <w:r>
        <w:rPr>
          <w:rFonts w:hint="eastAsia" w:ascii="宋体" w:hAnsi="宋体" w:cs="等线"/>
          <w:sz w:val="24"/>
        </w:rPr>
        <w:t>年</w:t>
      </w:r>
      <w:r>
        <w:rPr>
          <w:rFonts w:hint="eastAsia" w:ascii="宋体" w:hAnsi="宋体" w:cs="等线"/>
          <w:sz w:val="24"/>
          <w:u w:val="single"/>
          <w:lang w:val="en-US" w:eastAsia="zh-CN"/>
        </w:rPr>
        <w:t xml:space="preserve">  </w:t>
      </w:r>
      <w:r>
        <w:rPr>
          <w:rFonts w:hint="eastAsia" w:ascii="宋体" w:hAnsi="宋体" w:cs="等线"/>
          <w:sz w:val="24"/>
          <w:u w:val="single"/>
        </w:rPr>
        <w:t xml:space="preserve"> </w:t>
      </w:r>
      <w:r>
        <w:rPr>
          <w:rFonts w:hint="eastAsia" w:ascii="宋体" w:hAnsi="宋体" w:cs="等线"/>
          <w:sz w:val="24"/>
        </w:rPr>
        <w:t>月</w:t>
      </w:r>
      <w:r>
        <w:rPr>
          <w:rFonts w:hint="eastAsia" w:ascii="宋体" w:hAnsi="宋体" w:cs="等线"/>
          <w:sz w:val="24"/>
          <w:u w:val="single"/>
        </w:rPr>
        <w:t xml:space="preserve"> </w:t>
      </w:r>
      <w:r>
        <w:rPr>
          <w:rFonts w:hint="eastAsia" w:ascii="宋体" w:hAnsi="宋体" w:cs="等线"/>
          <w:sz w:val="24"/>
          <w:u w:val="single"/>
          <w:lang w:val="en-US" w:eastAsia="zh-CN"/>
        </w:rPr>
        <w:t xml:space="preserve">  </w:t>
      </w:r>
      <w:r>
        <w:rPr>
          <w:rFonts w:hint="eastAsia" w:ascii="宋体" w:hAnsi="宋体" w:cs="等线"/>
          <w:sz w:val="24"/>
          <w:u w:val="single"/>
        </w:rPr>
        <w:t xml:space="preserve">  </w:t>
      </w:r>
      <w:r>
        <w:rPr>
          <w:rFonts w:hint="eastAsia" w:ascii="宋体" w:hAnsi="宋体" w:cs="等线"/>
          <w:sz w:val="24"/>
        </w:rPr>
        <w:t>日</w:t>
      </w:r>
      <w:r>
        <w:rPr>
          <w:rFonts w:hint="eastAsia" w:ascii="宋体" w:hAnsi="宋体" w:cs="等线"/>
          <w:sz w:val="24"/>
          <w:u w:val="single"/>
        </w:rPr>
        <w:t xml:space="preserve"> </w:t>
      </w:r>
      <w:r>
        <w:rPr>
          <w:rFonts w:hint="eastAsia" w:ascii="仿宋" w:hAnsi="仿宋" w:eastAsia="仿宋"/>
          <w:sz w:val="28"/>
          <w:szCs w:val="28"/>
          <w:u w:val="single"/>
        </w:rPr>
        <w:t>部分学生宿舍家具增购项目</w:t>
      </w:r>
      <w:r>
        <w:rPr>
          <w:rFonts w:hint="eastAsia" w:ascii="宋体" w:hAnsi="宋体" w:cs="等线"/>
          <w:sz w:val="24"/>
          <w:u w:val="single"/>
        </w:rPr>
        <w:t xml:space="preserve">  </w:t>
      </w:r>
      <w:r>
        <w:rPr>
          <w:rFonts w:hint="eastAsia" w:ascii="宋体" w:hAnsi="宋体" w:cs="等线"/>
          <w:sz w:val="24"/>
        </w:rPr>
        <w:t>项目（采购编号</w:t>
      </w:r>
      <w:r>
        <w:rPr>
          <w:rFonts w:hint="eastAsia" w:ascii="宋体" w:hAnsi="宋体" w:cs="等线"/>
          <w:sz w:val="24"/>
          <w:u w:val="single"/>
          <w:lang w:eastAsia="zh-CN"/>
        </w:rPr>
        <w:t>：</w:t>
      </w:r>
      <w:r>
        <w:rPr>
          <w:rFonts w:hint="eastAsia" w:ascii="宋体" w:hAnsi="宋体" w:cs="等线"/>
          <w:sz w:val="24"/>
          <w:u w:val="single"/>
          <w:lang w:val="en-US" w:eastAsia="zh-CN"/>
        </w:rPr>
        <w:t xml:space="preserve">        </w:t>
      </w:r>
      <w:r>
        <w:rPr>
          <w:rFonts w:hint="eastAsia" w:ascii="宋体" w:hAnsi="宋体" w:cs="等线"/>
          <w:sz w:val="24"/>
        </w:rPr>
        <w:t>）公开招标结果</w:t>
      </w:r>
      <w:r>
        <w:rPr>
          <w:rFonts w:hint="eastAsia"/>
          <w:sz w:val="24"/>
        </w:rPr>
        <w:t>及招标文件的要求，经协商一致，由乙方承担该项目家具的制作、安装、售后服务等相关工作，并达成如下货物购销合同：</w:t>
      </w:r>
    </w:p>
    <w:p w14:paraId="5BE5DFAA">
      <w:pPr>
        <w:autoSpaceDE w:val="0"/>
        <w:autoSpaceDN w:val="0"/>
        <w:adjustRightInd w:val="0"/>
        <w:spacing w:line="360" w:lineRule="auto"/>
        <w:ind w:firstLine="465" w:firstLineChars="193"/>
        <w:rPr>
          <w:rFonts w:ascii="宋体"/>
          <w:color w:val="000000"/>
          <w:sz w:val="24"/>
          <w:lang w:val="zh-CN"/>
        </w:rPr>
      </w:pPr>
      <w:r>
        <w:rPr>
          <w:rFonts w:hint="eastAsia" w:ascii="宋体"/>
          <w:b/>
          <w:bCs/>
          <w:color w:val="000000"/>
          <w:sz w:val="24"/>
          <w:lang w:val="zh-CN"/>
        </w:rPr>
        <w:t>第一条 合同标的</w:t>
      </w:r>
      <w:r>
        <w:rPr>
          <w:rFonts w:hint="eastAsia" w:ascii="宋体"/>
          <w:color w:val="000000"/>
          <w:sz w:val="24"/>
          <w:lang w:val="zh-CN"/>
        </w:rPr>
        <w:t xml:space="preserve">  </w:t>
      </w:r>
    </w:p>
    <w:p w14:paraId="2E6DC933">
      <w:pPr>
        <w:autoSpaceDE w:val="0"/>
        <w:autoSpaceDN w:val="0"/>
        <w:adjustRightInd w:val="0"/>
        <w:spacing w:line="360" w:lineRule="auto"/>
        <w:ind w:firstLine="463" w:firstLineChars="193"/>
        <w:rPr>
          <w:rFonts w:ascii="宋体"/>
          <w:color w:val="000000"/>
          <w:sz w:val="24"/>
          <w:lang w:val="zh-CN"/>
        </w:rPr>
      </w:pPr>
      <w:r>
        <w:rPr>
          <w:rFonts w:hint="eastAsia" w:ascii="宋体"/>
          <w:color w:val="000000"/>
          <w:sz w:val="24"/>
          <w:lang w:val="zh-CN"/>
        </w:rPr>
        <w:t>乙方根据甲方需求提供下列货物：</w:t>
      </w:r>
      <w:r>
        <w:rPr>
          <w:rFonts w:hint="eastAsia" w:ascii="宋体"/>
          <w:color w:val="000000"/>
          <w:sz w:val="24"/>
          <w:u w:val="single"/>
          <w:lang w:val="en-US" w:eastAsia="zh-CN"/>
        </w:rPr>
        <w:t>组合书桌柜等</w:t>
      </w:r>
      <w:r>
        <w:rPr>
          <w:rFonts w:hint="eastAsia" w:ascii="宋体"/>
          <w:color w:val="000000"/>
          <w:sz w:val="24"/>
          <w:u w:val="single"/>
          <w:lang w:val="zh-CN"/>
        </w:rPr>
        <w:t xml:space="preserve"> </w:t>
      </w:r>
      <w:r>
        <w:rPr>
          <w:rFonts w:hint="eastAsia" w:ascii="宋体"/>
          <w:color w:val="000000"/>
          <w:sz w:val="24"/>
          <w:lang w:val="zh-CN"/>
        </w:rPr>
        <w:t>，货物名称、规格及数量、</w:t>
      </w:r>
      <w:r>
        <w:rPr>
          <w:rFonts w:hint="eastAsia" w:ascii="宋体"/>
          <w:color w:val="000000"/>
          <w:sz w:val="24"/>
        </w:rPr>
        <w:t>单价、总价（</w:t>
      </w:r>
      <w:r>
        <w:rPr>
          <w:rFonts w:hint="eastAsia" w:ascii="宋体"/>
          <w:color w:val="000000"/>
          <w:sz w:val="24"/>
          <w:lang w:val="zh-CN"/>
        </w:rPr>
        <w:t>详见附件</w:t>
      </w:r>
      <w:r>
        <w:rPr>
          <w:rFonts w:hint="eastAsia" w:ascii="宋体"/>
          <w:color w:val="000000"/>
          <w:sz w:val="24"/>
        </w:rPr>
        <w:t>）</w:t>
      </w:r>
      <w:r>
        <w:rPr>
          <w:rFonts w:hint="eastAsia" w:ascii="宋体"/>
          <w:color w:val="000000"/>
          <w:sz w:val="24"/>
          <w:lang w:val="zh-CN"/>
        </w:rPr>
        <w:t>。甲醛标准不得超过国家规定。</w:t>
      </w:r>
    </w:p>
    <w:tbl>
      <w:tblPr>
        <w:tblStyle w:val="8"/>
        <w:tblpPr w:leftFromText="180" w:rightFromText="180" w:vertAnchor="text" w:horzAnchor="page" w:tblpX="1807" w:tblpY="29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96"/>
        <w:gridCol w:w="456"/>
        <w:gridCol w:w="456"/>
        <w:gridCol w:w="2376"/>
        <w:gridCol w:w="1577"/>
        <w:gridCol w:w="1700"/>
      </w:tblGrid>
      <w:tr w14:paraId="2C57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08" w:type="pct"/>
            <w:vAlign w:val="center"/>
          </w:tcPr>
          <w:p w14:paraId="2A54E1AD">
            <w:pPr>
              <w:spacing w:line="360" w:lineRule="auto"/>
              <w:jc w:val="center"/>
            </w:pPr>
            <w:r>
              <w:rPr>
                <w:rFonts w:hint="eastAsia" w:ascii="宋体" w:hAnsi="宋体" w:cs="宋体"/>
                <w:sz w:val="24"/>
                <w:szCs w:val="24"/>
              </w:rPr>
              <w:t>序号</w:t>
            </w:r>
          </w:p>
        </w:tc>
        <w:tc>
          <w:tcPr>
            <w:tcW w:w="981" w:type="pct"/>
          </w:tcPr>
          <w:p w14:paraId="19D71AD0">
            <w:pPr>
              <w:spacing w:line="360" w:lineRule="auto"/>
              <w:jc w:val="center"/>
            </w:pPr>
            <w:r>
              <w:rPr>
                <w:rFonts w:hint="eastAsia" w:ascii="宋体" w:hAnsi="宋体" w:cs="宋体"/>
                <w:sz w:val="24"/>
                <w:szCs w:val="24"/>
              </w:rPr>
              <w:t>产品名称</w:t>
            </w:r>
          </w:p>
        </w:tc>
        <w:tc>
          <w:tcPr>
            <w:tcW w:w="298" w:type="pct"/>
            <w:vAlign w:val="center"/>
          </w:tcPr>
          <w:p w14:paraId="3A8CDEAC">
            <w:pPr>
              <w:spacing w:line="360" w:lineRule="auto"/>
              <w:jc w:val="center"/>
            </w:pPr>
            <w:r>
              <w:rPr>
                <w:rFonts w:hint="eastAsia" w:ascii="宋体" w:hAnsi="宋体" w:cs="宋体"/>
                <w:sz w:val="24"/>
                <w:szCs w:val="24"/>
              </w:rPr>
              <w:t>产品数量</w:t>
            </w:r>
          </w:p>
        </w:tc>
        <w:tc>
          <w:tcPr>
            <w:tcW w:w="210" w:type="pct"/>
            <w:vAlign w:val="center"/>
          </w:tcPr>
          <w:p w14:paraId="09A9989D">
            <w:pPr>
              <w:spacing w:line="360" w:lineRule="auto"/>
              <w:jc w:val="center"/>
            </w:pPr>
            <w:r>
              <w:rPr>
                <w:rFonts w:hint="eastAsia" w:ascii="宋体" w:hAnsi="宋体" w:cs="宋体"/>
                <w:sz w:val="24"/>
                <w:szCs w:val="24"/>
              </w:rPr>
              <w:t>单位</w:t>
            </w:r>
          </w:p>
        </w:tc>
        <w:tc>
          <w:tcPr>
            <w:tcW w:w="1100" w:type="pct"/>
          </w:tcPr>
          <w:p w14:paraId="74AEC1A9">
            <w:pPr>
              <w:spacing w:line="360" w:lineRule="auto"/>
              <w:jc w:val="center"/>
              <w:rPr>
                <w:rFonts w:hint="default" w:eastAsia="宋体"/>
                <w:lang w:val="en-US" w:eastAsia="zh-CN"/>
              </w:rPr>
            </w:pPr>
            <w:r>
              <w:rPr>
                <w:rFonts w:hint="eastAsia" w:ascii="宋体" w:hAnsi="宋体" w:cs="宋体"/>
                <w:sz w:val="24"/>
                <w:szCs w:val="24"/>
              </w:rPr>
              <w:t>规格(mm)</w:t>
            </w:r>
            <w:r>
              <w:rPr>
                <w:rFonts w:hint="eastAsia" w:ascii="宋体" w:hAnsi="宋体" w:cs="宋体"/>
                <w:sz w:val="24"/>
                <w:szCs w:val="24"/>
                <w:lang w:val="en-US" w:eastAsia="zh-CN"/>
              </w:rPr>
              <w:t>和要求</w:t>
            </w:r>
          </w:p>
        </w:tc>
        <w:tc>
          <w:tcPr>
            <w:tcW w:w="1100" w:type="pct"/>
          </w:tcPr>
          <w:p w14:paraId="1DA73D2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单价</w:t>
            </w:r>
          </w:p>
        </w:tc>
        <w:tc>
          <w:tcPr>
            <w:tcW w:w="1100" w:type="pct"/>
          </w:tcPr>
          <w:p w14:paraId="68683CF3">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总价</w:t>
            </w:r>
          </w:p>
        </w:tc>
      </w:tr>
      <w:tr w14:paraId="3089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vAlign w:val="center"/>
          </w:tcPr>
          <w:p w14:paraId="04DE36DD">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981" w:type="pct"/>
            <w:vAlign w:val="center"/>
          </w:tcPr>
          <w:p w14:paraId="41C4F8CB">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组合书桌柜</w:t>
            </w:r>
          </w:p>
        </w:tc>
        <w:tc>
          <w:tcPr>
            <w:tcW w:w="298" w:type="pct"/>
            <w:vAlign w:val="center"/>
          </w:tcPr>
          <w:p w14:paraId="57DA5B13">
            <w:pPr>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210" w:type="pct"/>
            <w:vAlign w:val="center"/>
          </w:tcPr>
          <w:p w14:paraId="4EFE84D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套</w:t>
            </w:r>
          </w:p>
        </w:tc>
        <w:tc>
          <w:tcPr>
            <w:tcW w:w="1100" w:type="pct"/>
          </w:tcPr>
          <w:p w14:paraId="54441C20">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1400*600*2400mm</w:t>
            </w:r>
          </w:p>
        </w:tc>
        <w:tc>
          <w:tcPr>
            <w:tcW w:w="1100" w:type="pct"/>
          </w:tcPr>
          <w:p w14:paraId="34C39F62">
            <w:pPr>
              <w:spacing w:line="360" w:lineRule="auto"/>
              <w:jc w:val="center"/>
              <w:rPr>
                <w:rFonts w:hint="eastAsia" w:ascii="宋体" w:hAnsi="宋体" w:cs="宋体"/>
                <w:color w:val="000000" w:themeColor="text1"/>
                <w:sz w:val="24"/>
                <w:szCs w:val="24"/>
                <w14:textFill>
                  <w14:solidFill>
                    <w14:schemeClr w14:val="tx1"/>
                  </w14:solidFill>
                </w14:textFill>
              </w:rPr>
            </w:pPr>
          </w:p>
        </w:tc>
        <w:tc>
          <w:tcPr>
            <w:tcW w:w="1100" w:type="pct"/>
          </w:tcPr>
          <w:p w14:paraId="4330DF38">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61D4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vAlign w:val="center"/>
          </w:tcPr>
          <w:p w14:paraId="3A3471EA">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981" w:type="pct"/>
            <w:vAlign w:val="center"/>
          </w:tcPr>
          <w:p w14:paraId="2662E5C8">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储物柜</w:t>
            </w:r>
          </w:p>
        </w:tc>
        <w:tc>
          <w:tcPr>
            <w:tcW w:w="298" w:type="pct"/>
            <w:vAlign w:val="center"/>
          </w:tcPr>
          <w:p w14:paraId="005C9293">
            <w:pPr>
              <w:spacing w:line="36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10" w:type="pct"/>
            <w:vAlign w:val="center"/>
          </w:tcPr>
          <w:p w14:paraId="5C209D57">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组</w:t>
            </w:r>
          </w:p>
        </w:tc>
        <w:tc>
          <w:tcPr>
            <w:tcW w:w="1100" w:type="pct"/>
          </w:tcPr>
          <w:p w14:paraId="7E474E34">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1800*600*2400mm</w:t>
            </w:r>
          </w:p>
        </w:tc>
        <w:tc>
          <w:tcPr>
            <w:tcW w:w="1100" w:type="pct"/>
          </w:tcPr>
          <w:p w14:paraId="4E66CA13">
            <w:pPr>
              <w:spacing w:line="360" w:lineRule="auto"/>
              <w:jc w:val="center"/>
              <w:rPr>
                <w:rFonts w:hint="eastAsia" w:ascii="宋体" w:hAnsi="宋体" w:cs="宋体"/>
                <w:color w:val="000000" w:themeColor="text1"/>
                <w:sz w:val="24"/>
                <w:szCs w:val="24"/>
                <w14:textFill>
                  <w14:solidFill>
                    <w14:schemeClr w14:val="tx1"/>
                  </w14:solidFill>
                </w14:textFill>
              </w:rPr>
            </w:pPr>
          </w:p>
        </w:tc>
        <w:tc>
          <w:tcPr>
            <w:tcW w:w="1100" w:type="pct"/>
          </w:tcPr>
          <w:p w14:paraId="458F41BF">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7B47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vAlign w:val="center"/>
          </w:tcPr>
          <w:p w14:paraId="79767D2F">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981" w:type="pct"/>
            <w:shd w:val="clear" w:color="auto" w:fill="auto"/>
            <w:vAlign w:val="center"/>
          </w:tcPr>
          <w:p w14:paraId="71333DE8">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公寓椅</w:t>
            </w:r>
          </w:p>
        </w:tc>
        <w:tc>
          <w:tcPr>
            <w:tcW w:w="298" w:type="pct"/>
            <w:shd w:val="clear" w:color="auto" w:fill="auto"/>
            <w:vAlign w:val="center"/>
          </w:tcPr>
          <w:p w14:paraId="68F81EED">
            <w:pPr>
              <w:spacing w:line="360" w:lineRule="auto"/>
              <w:jc w:val="center"/>
              <w:rPr>
                <w:rFonts w:hint="default"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210" w:type="pct"/>
            <w:shd w:val="clear" w:color="auto" w:fill="auto"/>
            <w:vAlign w:val="center"/>
          </w:tcPr>
          <w:p w14:paraId="2033BE6A">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张</w:t>
            </w:r>
          </w:p>
        </w:tc>
        <w:tc>
          <w:tcPr>
            <w:tcW w:w="1100" w:type="pct"/>
            <w:shd w:val="clear" w:color="auto" w:fill="auto"/>
            <w:vAlign w:val="top"/>
          </w:tcPr>
          <w:p w14:paraId="172D6F80">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410*510*840</w:t>
            </w:r>
          </w:p>
        </w:tc>
        <w:tc>
          <w:tcPr>
            <w:tcW w:w="1100" w:type="pct"/>
            <w:shd w:val="clear" w:color="auto" w:fill="auto"/>
            <w:vAlign w:val="top"/>
          </w:tcPr>
          <w:p w14:paraId="341E8B19">
            <w:pPr>
              <w:spacing w:line="360" w:lineRule="auto"/>
              <w:jc w:val="center"/>
              <w:rPr>
                <w:rFonts w:hint="eastAsia" w:ascii="宋体" w:hAnsi="宋体" w:cs="宋体"/>
                <w:color w:val="000000" w:themeColor="text1"/>
                <w:sz w:val="24"/>
                <w:szCs w:val="24"/>
                <w14:textFill>
                  <w14:solidFill>
                    <w14:schemeClr w14:val="tx1"/>
                  </w14:solidFill>
                </w14:textFill>
              </w:rPr>
            </w:pPr>
          </w:p>
        </w:tc>
        <w:tc>
          <w:tcPr>
            <w:tcW w:w="1100" w:type="pct"/>
            <w:shd w:val="clear" w:color="auto" w:fill="auto"/>
            <w:vAlign w:val="top"/>
          </w:tcPr>
          <w:p w14:paraId="70A0CA7C">
            <w:pPr>
              <w:spacing w:line="360" w:lineRule="auto"/>
              <w:jc w:val="center"/>
              <w:rPr>
                <w:rFonts w:hint="eastAsia" w:ascii="宋体" w:hAnsi="宋体" w:cs="宋体"/>
                <w:color w:val="000000" w:themeColor="text1"/>
                <w:sz w:val="24"/>
                <w:szCs w:val="24"/>
                <w14:textFill>
                  <w14:solidFill>
                    <w14:schemeClr w14:val="tx1"/>
                  </w14:solidFill>
                </w14:textFill>
              </w:rPr>
            </w:pPr>
          </w:p>
        </w:tc>
      </w:tr>
      <w:tr w14:paraId="705D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shd w:val="clear" w:color="auto" w:fill="auto"/>
            <w:vAlign w:val="center"/>
          </w:tcPr>
          <w:p w14:paraId="1561C6AA">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981" w:type="pct"/>
            <w:vAlign w:val="center"/>
          </w:tcPr>
          <w:p w14:paraId="1AAE3C8B">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单人</w:t>
            </w:r>
            <w:r>
              <w:rPr>
                <w:rFonts w:hint="eastAsia" w:ascii="宋体" w:hAnsi="宋体" w:cs="宋体"/>
                <w:color w:val="000000" w:themeColor="text1"/>
                <w:sz w:val="24"/>
                <w:szCs w:val="24"/>
                <w14:textFill>
                  <w14:solidFill>
                    <w14:schemeClr w14:val="tx1"/>
                  </w14:solidFill>
                </w14:textFill>
              </w:rPr>
              <w:t>公寓组合床（外挂梯）</w:t>
            </w:r>
          </w:p>
        </w:tc>
        <w:tc>
          <w:tcPr>
            <w:tcW w:w="298" w:type="pct"/>
            <w:vAlign w:val="center"/>
          </w:tcPr>
          <w:p w14:paraId="78E98E16">
            <w:pPr>
              <w:spacing w:line="36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210" w:type="pct"/>
            <w:vAlign w:val="center"/>
          </w:tcPr>
          <w:p w14:paraId="62B53E2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组</w:t>
            </w:r>
          </w:p>
        </w:tc>
        <w:tc>
          <w:tcPr>
            <w:tcW w:w="1100" w:type="pct"/>
          </w:tcPr>
          <w:p w14:paraId="4E6C24B4">
            <w:pPr>
              <w:spacing w:line="360" w:lineRule="auto"/>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200</w:t>
            </w:r>
            <w:r>
              <w:rPr>
                <w:rFonts w:hint="eastAsia" w:ascii="宋体" w:hAnsi="宋体" w:cs="宋体"/>
                <w:color w:val="000000" w:themeColor="text1"/>
                <w:sz w:val="24"/>
                <w:szCs w:val="24"/>
                <w14:textFill>
                  <w14:solidFill>
                    <w14:schemeClr w14:val="tx1"/>
                  </w14:solidFill>
                </w14:textFill>
              </w:rPr>
              <w:t>0*900*2250/2950</w:t>
            </w:r>
          </w:p>
        </w:tc>
        <w:tc>
          <w:tcPr>
            <w:tcW w:w="1100" w:type="pct"/>
          </w:tcPr>
          <w:p w14:paraId="458088EE">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c>
          <w:tcPr>
            <w:tcW w:w="1100" w:type="pct"/>
          </w:tcPr>
          <w:p w14:paraId="3040937B">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14:paraId="172B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shd w:val="clear" w:color="auto" w:fill="auto"/>
            <w:vAlign w:val="center"/>
          </w:tcPr>
          <w:p w14:paraId="5C9A265A">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981" w:type="pct"/>
            <w:shd w:val="clear" w:color="auto" w:fill="auto"/>
            <w:vAlign w:val="top"/>
          </w:tcPr>
          <w:p w14:paraId="4B6149BF">
            <w:pPr>
              <w:spacing w:line="360" w:lineRule="auto"/>
              <w:jc w:val="center"/>
              <w:rPr>
                <w:rFonts w:hint="default"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衣柜</w:t>
            </w:r>
          </w:p>
        </w:tc>
        <w:tc>
          <w:tcPr>
            <w:tcW w:w="298" w:type="pct"/>
            <w:shd w:val="clear" w:color="auto" w:fill="auto"/>
            <w:vAlign w:val="center"/>
          </w:tcPr>
          <w:p w14:paraId="76CF614E">
            <w:pPr>
              <w:spacing w:line="360" w:lineRule="auto"/>
              <w:jc w:val="center"/>
              <w:rPr>
                <w:rFonts w:hint="default"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210" w:type="pct"/>
            <w:shd w:val="clear" w:color="auto" w:fill="auto"/>
            <w:vAlign w:val="center"/>
          </w:tcPr>
          <w:p w14:paraId="5575F681">
            <w:pPr>
              <w:spacing w:line="360" w:lineRule="auto"/>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w:t>
            </w:r>
          </w:p>
        </w:tc>
        <w:tc>
          <w:tcPr>
            <w:tcW w:w="1100" w:type="pct"/>
            <w:shd w:val="clear" w:color="auto" w:fill="auto"/>
            <w:vAlign w:val="top"/>
          </w:tcPr>
          <w:p w14:paraId="0C04F11A">
            <w:pPr>
              <w:spacing w:line="360" w:lineRule="auto"/>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80</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00*2</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cs="宋体"/>
                <w:color w:val="000000" w:themeColor="text1"/>
                <w:sz w:val="24"/>
                <w:szCs w:val="24"/>
                <w14:textFill>
                  <w14:solidFill>
                    <w14:schemeClr w14:val="tx1"/>
                  </w14:solidFill>
                </w14:textFill>
              </w:rPr>
              <w:t>0</w:t>
            </w:r>
          </w:p>
        </w:tc>
        <w:tc>
          <w:tcPr>
            <w:tcW w:w="1100" w:type="pct"/>
            <w:shd w:val="clear" w:color="auto" w:fill="auto"/>
            <w:vAlign w:val="top"/>
          </w:tcPr>
          <w:p w14:paraId="26C64D4B">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c>
          <w:tcPr>
            <w:tcW w:w="1100" w:type="pct"/>
            <w:shd w:val="clear" w:color="auto" w:fill="auto"/>
            <w:vAlign w:val="top"/>
          </w:tcPr>
          <w:p w14:paraId="3BA36352">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14:paraId="4280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shd w:val="clear" w:color="auto" w:fill="auto"/>
            <w:vAlign w:val="center"/>
          </w:tcPr>
          <w:p w14:paraId="0A6EC331">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8</w:t>
            </w:r>
          </w:p>
        </w:tc>
        <w:tc>
          <w:tcPr>
            <w:tcW w:w="981" w:type="pct"/>
            <w:shd w:val="clear" w:color="auto" w:fill="auto"/>
            <w:vAlign w:val="center"/>
          </w:tcPr>
          <w:p w14:paraId="1BD5D812">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单人床床靠</w:t>
            </w:r>
          </w:p>
        </w:tc>
        <w:tc>
          <w:tcPr>
            <w:tcW w:w="298" w:type="pct"/>
            <w:shd w:val="clear" w:color="auto" w:fill="auto"/>
            <w:vAlign w:val="center"/>
          </w:tcPr>
          <w:p w14:paraId="4C855A8E">
            <w:pPr>
              <w:spacing w:line="360" w:lineRule="auto"/>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210" w:type="pct"/>
            <w:shd w:val="clear" w:color="auto" w:fill="auto"/>
            <w:vAlign w:val="center"/>
          </w:tcPr>
          <w:p w14:paraId="1F94D28B">
            <w:pPr>
              <w:spacing w:line="360" w:lineRule="auto"/>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个</w:t>
            </w:r>
          </w:p>
        </w:tc>
        <w:tc>
          <w:tcPr>
            <w:tcW w:w="1100" w:type="pct"/>
            <w:shd w:val="clear" w:color="auto" w:fill="auto"/>
            <w:vAlign w:val="top"/>
          </w:tcPr>
          <w:p w14:paraId="349A65B9">
            <w:pPr>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1200*90</w:t>
            </w:r>
          </w:p>
        </w:tc>
        <w:tc>
          <w:tcPr>
            <w:tcW w:w="1100" w:type="pct"/>
            <w:shd w:val="clear" w:color="auto" w:fill="auto"/>
            <w:vAlign w:val="top"/>
          </w:tcPr>
          <w:p w14:paraId="6F7749AB">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c>
          <w:tcPr>
            <w:tcW w:w="1100" w:type="pct"/>
            <w:shd w:val="clear" w:color="auto" w:fill="auto"/>
            <w:vAlign w:val="top"/>
          </w:tcPr>
          <w:p w14:paraId="4C9B9C92">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r>
      <w:tr w14:paraId="2813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 w:type="pct"/>
            <w:shd w:val="clear" w:color="auto" w:fill="auto"/>
            <w:vAlign w:val="center"/>
          </w:tcPr>
          <w:p w14:paraId="01060837">
            <w:pPr>
              <w:spacing w:line="360" w:lineRule="auto"/>
              <w:jc w:val="center"/>
              <w:rPr>
                <w:rFonts w:hint="default"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9</w:t>
            </w:r>
          </w:p>
        </w:tc>
        <w:tc>
          <w:tcPr>
            <w:tcW w:w="981" w:type="pct"/>
            <w:shd w:val="clear" w:color="auto" w:fill="auto"/>
            <w:vAlign w:val="center"/>
          </w:tcPr>
          <w:p w14:paraId="2EAD8018">
            <w:pPr>
              <w:spacing w:line="360" w:lineRule="auto"/>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合计</w:t>
            </w:r>
          </w:p>
        </w:tc>
        <w:tc>
          <w:tcPr>
            <w:tcW w:w="298" w:type="pct"/>
            <w:shd w:val="clear" w:color="auto" w:fill="auto"/>
            <w:vAlign w:val="center"/>
          </w:tcPr>
          <w:p w14:paraId="2EADAB99">
            <w:pPr>
              <w:spacing w:line="360" w:lineRule="auto"/>
              <w:jc w:val="center"/>
              <w:rPr>
                <w:rFonts w:hint="eastAsia"/>
                <w:color w:val="000000" w:themeColor="text1"/>
                <w:lang w:val="en-US" w:eastAsia="zh-CN"/>
                <w14:textFill>
                  <w14:solidFill>
                    <w14:schemeClr w14:val="tx1"/>
                  </w14:solidFill>
                </w14:textFill>
              </w:rPr>
            </w:pPr>
          </w:p>
        </w:tc>
        <w:tc>
          <w:tcPr>
            <w:tcW w:w="210" w:type="pct"/>
            <w:shd w:val="clear" w:color="auto" w:fill="auto"/>
            <w:vAlign w:val="center"/>
          </w:tcPr>
          <w:p w14:paraId="7E843FFD">
            <w:pPr>
              <w:spacing w:line="360" w:lineRule="auto"/>
              <w:jc w:val="center"/>
              <w:rPr>
                <w:rFonts w:hint="eastAsia" w:ascii="宋体" w:hAnsi="宋体" w:cs="宋体"/>
                <w:color w:val="000000" w:themeColor="text1"/>
                <w:kern w:val="2"/>
                <w:sz w:val="24"/>
                <w:szCs w:val="24"/>
                <w:lang w:val="en-US" w:eastAsia="zh-CN" w:bidi="ar-SA"/>
                <w14:textFill>
                  <w14:solidFill>
                    <w14:schemeClr w14:val="tx1"/>
                  </w14:solidFill>
                </w14:textFill>
              </w:rPr>
            </w:pPr>
          </w:p>
        </w:tc>
        <w:tc>
          <w:tcPr>
            <w:tcW w:w="1100" w:type="pct"/>
            <w:shd w:val="clear" w:color="auto" w:fill="auto"/>
            <w:vAlign w:val="top"/>
          </w:tcPr>
          <w:p w14:paraId="0290BAA6">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c>
          <w:tcPr>
            <w:tcW w:w="1100" w:type="pct"/>
            <w:shd w:val="clear" w:color="auto" w:fill="auto"/>
            <w:vAlign w:val="top"/>
          </w:tcPr>
          <w:p w14:paraId="43A5F597">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c>
          <w:tcPr>
            <w:tcW w:w="1100" w:type="pct"/>
            <w:shd w:val="clear" w:color="auto" w:fill="auto"/>
            <w:vAlign w:val="top"/>
          </w:tcPr>
          <w:p w14:paraId="17A4C802">
            <w:pPr>
              <w:spacing w:line="360" w:lineRule="auto"/>
              <w:jc w:val="center"/>
              <w:rPr>
                <w:rFonts w:hint="eastAsia" w:ascii="宋体" w:hAnsi="宋体" w:cs="宋体"/>
                <w:color w:val="000000" w:themeColor="text1"/>
                <w:sz w:val="24"/>
                <w:szCs w:val="24"/>
                <w:lang w:val="en-US" w:eastAsia="zh-CN"/>
                <w14:textFill>
                  <w14:solidFill>
                    <w14:schemeClr w14:val="tx1"/>
                  </w14:solidFill>
                </w14:textFill>
              </w:rPr>
            </w:pPr>
          </w:p>
        </w:tc>
      </w:tr>
    </w:tbl>
    <w:p w14:paraId="4737EE91">
      <w:pPr>
        <w:autoSpaceDE w:val="0"/>
        <w:autoSpaceDN w:val="0"/>
        <w:adjustRightInd w:val="0"/>
        <w:spacing w:line="360" w:lineRule="auto"/>
        <w:ind w:firstLine="463" w:firstLineChars="193"/>
        <w:rPr>
          <w:rFonts w:ascii="宋体"/>
          <w:color w:val="000000"/>
          <w:sz w:val="24"/>
          <w:lang w:val="zh-CN"/>
        </w:rPr>
      </w:pPr>
    </w:p>
    <w:p w14:paraId="42486736">
      <w:pPr>
        <w:autoSpaceDE w:val="0"/>
        <w:autoSpaceDN w:val="0"/>
        <w:adjustRightInd w:val="0"/>
        <w:spacing w:line="360" w:lineRule="auto"/>
        <w:ind w:firstLine="420"/>
        <w:jc w:val="left"/>
        <w:rPr>
          <w:rFonts w:ascii="宋体"/>
          <w:color w:val="000000"/>
          <w:sz w:val="24"/>
          <w:lang w:val="zh-CN"/>
        </w:rPr>
      </w:pPr>
      <w:r>
        <w:rPr>
          <w:rFonts w:hint="eastAsia" w:ascii="宋体"/>
          <w:b/>
          <w:bCs/>
          <w:color w:val="000000"/>
          <w:sz w:val="24"/>
          <w:lang w:val="zh-CN"/>
        </w:rPr>
        <w:t>第二条 合同总价款</w:t>
      </w:r>
      <w:r>
        <w:rPr>
          <w:rFonts w:hint="eastAsia" w:ascii="宋体"/>
          <w:color w:val="000000"/>
          <w:sz w:val="24"/>
          <w:lang w:val="zh-CN"/>
        </w:rPr>
        <w:t xml:space="preserve">  </w:t>
      </w:r>
    </w:p>
    <w:p w14:paraId="68E09E40">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本合同项下货物总价款为</w:t>
      </w:r>
      <w:r>
        <w:rPr>
          <w:rFonts w:hint="eastAsia" w:ascii="宋体"/>
          <w:color w:val="000000"/>
          <w:sz w:val="24"/>
          <w:u w:val="single"/>
          <w:lang w:val="en-US" w:eastAsia="zh-CN"/>
        </w:rPr>
        <w:t xml:space="preserve">           </w:t>
      </w:r>
      <w:r>
        <w:rPr>
          <w:rFonts w:hint="eastAsia" w:ascii="宋体"/>
          <w:color w:val="000000"/>
          <w:sz w:val="24"/>
          <w:lang w:val="zh-CN"/>
        </w:rPr>
        <w:t>（大写）人民币</w:t>
      </w:r>
      <w:r>
        <w:rPr>
          <w:rFonts w:hint="eastAsia" w:ascii="宋体"/>
          <w:color w:val="000000"/>
          <w:sz w:val="24"/>
        </w:rPr>
        <w:t>(含税）</w:t>
      </w:r>
      <w:r>
        <w:rPr>
          <w:rFonts w:hint="eastAsia" w:ascii="宋体"/>
          <w:color w:val="000000"/>
          <w:sz w:val="24"/>
          <w:lang w:val="zh-CN"/>
        </w:rPr>
        <w:t>，分项价款在“投标报价明细表”中有明确规定。</w:t>
      </w:r>
    </w:p>
    <w:p w14:paraId="5AC1C12F">
      <w:pPr>
        <w:spacing w:line="360" w:lineRule="auto"/>
        <w:ind w:firstLine="480" w:firstLineChars="200"/>
        <w:rPr>
          <w:rFonts w:ascii="宋体" w:hAnsi="宋体"/>
          <w:b/>
          <w:color w:val="000000"/>
          <w:sz w:val="24"/>
        </w:rPr>
      </w:pPr>
      <w:r>
        <w:rPr>
          <w:rFonts w:hint="eastAsia" w:ascii="宋体"/>
          <w:color w:val="000000"/>
          <w:sz w:val="24"/>
          <w:lang w:val="zh-CN"/>
        </w:rPr>
        <w:t>本合同总价款是</w:t>
      </w:r>
      <w:r>
        <w:rPr>
          <w:rFonts w:hint="eastAsia" w:ascii="宋体" w:hAnsi="宋体" w:cs="宋体"/>
          <w:color w:val="000000"/>
          <w:sz w:val="24"/>
          <w:lang w:val="zh-CN"/>
        </w:rPr>
        <w:t>货物设计、制造、包装、 仓储、运输装缷、保险、安装、调试及其材料及验收合格之前保管及质保期内备品备件、专用工具、技术图纸资料等发生的所有含税费用、支付给员工的工资和国家强制缴纳的各种社会保障资金</w:t>
      </w:r>
      <w:r>
        <w:rPr>
          <w:rFonts w:hint="eastAsia" w:ascii="宋体" w:hAnsi="宋体"/>
          <w:bCs/>
          <w:color w:val="000000"/>
          <w:sz w:val="24"/>
        </w:rPr>
        <w:t>，以</w:t>
      </w:r>
      <w:r>
        <w:rPr>
          <w:rFonts w:hint="eastAsia" w:ascii="宋体" w:hAnsi="宋体"/>
          <w:color w:val="000000"/>
          <w:sz w:val="24"/>
        </w:rPr>
        <w:t>及投标人认为需要的其他费用等</w:t>
      </w:r>
      <w:r>
        <w:rPr>
          <w:rFonts w:hint="eastAsia" w:ascii="宋体"/>
          <w:color w:val="000000"/>
          <w:sz w:val="24"/>
          <w:lang w:val="zh-CN"/>
        </w:rPr>
        <w:t>。</w:t>
      </w:r>
    </w:p>
    <w:p w14:paraId="7C3E2C7E">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本合同总价款还包含乙方应当提供的售后服务费用。</w:t>
      </w:r>
    </w:p>
    <w:p w14:paraId="4938D28B">
      <w:pPr>
        <w:autoSpaceDE w:val="0"/>
        <w:autoSpaceDN w:val="0"/>
        <w:adjustRightInd w:val="0"/>
        <w:spacing w:line="360" w:lineRule="auto"/>
        <w:ind w:firstLine="420"/>
        <w:jc w:val="left"/>
        <w:rPr>
          <w:rFonts w:ascii="宋体"/>
          <w:color w:val="000000"/>
          <w:sz w:val="24"/>
          <w:lang w:val="zh-CN"/>
        </w:rPr>
      </w:pPr>
      <w:r>
        <w:rPr>
          <w:rFonts w:hint="eastAsia"/>
          <w:sz w:val="24"/>
        </w:rPr>
        <w:t>合同价款的调整：根据甲方要求，产品数量若有变化，最终按甲方确认的实际数量和上述单价按实调整；规格等若有变化，按甲方确认的单价进行调整。</w:t>
      </w:r>
    </w:p>
    <w:p w14:paraId="25B83285">
      <w:pPr>
        <w:autoSpaceDE w:val="0"/>
        <w:autoSpaceDN w:val="0"/>
        <w:adjustRightInd w:val="0"/>
        <w:spacing w:line="360" w:lineRule="auto"/>
        <w:ind w:firstLine="472" w:firstLineChars="196"/>
        <w:rPr>
          <w:rFonts w:ascii="宋体"/>
          <w:color w:val="000000"/>
          <w:sz w:val="24"/>
          <w:lang w:val="zh-CN"/>
        </w:rPr>
      </w:pPr>
      <w:r>
        <w:rPr>
          <w:rFonts w:hint="eastAsia" w:ascii="宋体"/>
          <w:b/>
          <w:bCs/>
          <w:color w:val="000000"/>
          <w:sz w:val="24"/>
          <w:lang w:val="zh-CN"/>
        </w:rPr>
        <w:t>第三条 组成本合同的有关文件</w:t>
      </w:r>
      <w:r>
        <w:rPr>
          <w:rFonts w:hint="eastAsia" w:ascii="宋体"/>
          <w:color w:val="000000"/>
          <w:sz w:val="24"/>
          <w:lang w:val="zh-CN"/>
        </w:rPr>
        <w:t xml:space="preserve">  </w:t>
      </w:r>
    </w:p>
    <w:p w14:paraId="5A3FAFCE">
      <w:pPr>
        <w:autoSpaceDE w:val="0"/>
        <w:autoSpaceDN w:val="0"/>
        <w:adjustRightInd w:val="0"/>
        <w:spacing w:line="360" w:lineRule="auto"/>
        <w:ind w:firstLine="470" w:firstLineChars="196"/>
        <w:rPr>
          <w:rFonts w:ascii="宋体"/>
          <w:color w:val="000000"/>
          <w:sz w:val="24"/>
          <w:lang w:val="zh-CN"/>
        </w:rPr>
      </w:pPr>
      <w:r>
        <w:rPr>
          <w:rFonts w:hint="eastAsia" w:ascii="宋体"/>
          <w:color w:val="000000"/>
          <w:sz w:val="24"/>
          <w:lang w:val="zh-CN"/>
        </w:rPr>
        <w:t>下列关于</w:t>
      </w:r>
      <w:r>
        <w:rPr>
          <w:rFonts w:hint="eastAsia" w:ascii="宋体" w:hAnsi="宋体"/>
          <w:b/>
          <w:sz w:val="24"/>
        </w:rPr>
        <w:t>采购编号</w:t>
      </w:r>
      <w:r>
        <w:rPr>
          <w:rFonts w:hint="eastAsia" w:ascii="宋体" w:hAnsi="宋体" w:cs="等线"/>
          <w:sz w:val="24"/>
          <w:u w:val="single"/>
          <w:lang w:val="en-US" w:eastAsia="zh-CN"/>
        </w:rPr>
        <w:t xml:space="preserve">           </w:t>
      </w:r>
      <w:r>
        <w:rPr>
          <w:rFonts w:hint="eastAsia" w:ascii="宋体"/>
          <w:color w:val="000000"/>
          <w:sz w:val="24"/>
          <w:lang w:val="zh-CN"/>
        </w:rPr>
        <w:t>标的招投标文件或与本次采购活动方式相适应的文件及有关附件是本合同不可分割的组成部分，与本合同具有同等法律效力，这些文件包括但不限于：</w:t>
      </w:r>
    </w:p>
    <w:p w14:paraId="315BFF10">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（1）乙方提供的投标文件和投标报价表；</w:t>
      </w:r>
    </w:p>
    <w:p w14:paraId="018DD54C">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（2）供货一览表；</w:t>
      </w:r>
    </w:p>
    <w:p w14:paraId="6FA48248">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 xml:space="preserve">（3）交货一览表；                           </w:t>
      </w:r>
    </w:p>
    <w:p w14:paraId="53131B20">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（4）技术规格响应表；</w:t>
      </w:r>
    </w:p>
    <w:p w14:paraId="71743186">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 xml:space="preserve">（5）投标承诺；                              </w:t>
      </w:r>
    </w:p>
    <w:p w14:paraId="18D1C032">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（6）服务承诺；</w:t>
      </w:r>
    </w:p>
    <w:p w14:paraId="2C7E2B00">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 xml:space="preserve">（7）中标通知书；                              </w:t>
      </w:r>
    </w:p>
    <w:p w14:paraId="7AC147AD">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（8）甲乙双方商定的其他文件等。</w:t>
      </w:r>
    </w:p>
    <w:p w14:paraId="1F27EA00">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第四条 权利保证</w:t>
      </w:r>
    </w:p>
    <w:p w14:paraId="2D802FE4">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乙方应保证甲方在使用该货物或其任何一部分时不受第三方提出侵犯其专利权、版权、商标权或其他权利的起诉。一旦出现侵权，乙方应承担全部责任。</w:t>
      </w:r>
    </w:p>
    <w:p w14:paraId="172AEA8B">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第五条 质量保证</w:t>
      </w:r>
    </w:p>
    <w:p w14:paraId="1EA2E4BF">
      <w:pPr>
        <w:autoSpaceDE w:val="0"/>
        <w:autoSpaceDN w:val="0"/>
        <w:adjustRightInd w:val="0"/>
        <w:spacing w:line="360" w:lineRule="auto"/>
        <w:ind w:firstLine="420"/>
        <w:jc w:val="left"/>
        <w:rPr>
          <w:rFonts w:ascii="宋体"/>
          <w:bCs/>
          <w:color w:val="000000"/>
          <w:sz w:val="24"/>
          <w:lang w:val="zh-CN"/>
        </w:rPr>
      </w:pPr>
      <w:r>
        <w:rPr>
          <w:rFonts w:hint="eastAsia" w:ascii="宋体"/>
          <w:bCs/>
          <w:color w:val="000000"/>
          <w:sz w:val="24"/>
          <w:lang w:val="zh-CN"/>
        </w:rPr>
        <w:t>质保期</w:t>
      </w:r>
      <w:r>
        <w:rPr>
          <w:rFonts w:hint="eastAsia" w:ascii="宋体"/>
          <w:bCs/>
          <w:color w:val="000000"/>
          <w:sz w:val="24"/>
          <w:u w:val="single"/>
          <w:lang w:val="zh-CN"/>
        </w:rPr>
        <w:t xml:space="preserve">  八  </w:t>
      </w:r>
      <w:r>
        <w:rPr>
          <w:rFonts w:hint="eastAsia" w:ascii="宋体"/>
          <w:bCs/>
          <w:color w:val="000000"/>
          <w:sz w:val="24"/>
          <w:lang w:val="zh-CN"/>
        </w:rPr>
        <w:t>年（自交货验收合格之日起计）。</w:t>
      </w:r>
    </w:p>
    <w:p w14:paraId="2A37703E">
      <w:pPr>
        <w:spacing w:line="360" w:lineRule="auto"/>
        <w:ind w:firstLine="480" w:firstLineChars="200"/>
        <w:rPr>
          <w:rFonts w:ascii="宋体"/>
          <w:color w:val="000000"/>
          <w:sz w:val="24"/>
          <w:lang w:val="zh-CN"/>
        </w:rPr>
      </w:pPr>
      <w:r>
        <w:rPr>
          <w:rFonts w:hint="eastAsia" w:ascii="宋体"/>
          <w:color w:val="000000"/>
          <w:sz w:val="24"/>
          <w:lang w:val="zh-CN"/>
        </w:rPr>
        <w:t>1、按照国家标准、行业标准确定, 保证成品及产品所使用的所有材料及胶水产品符合环保要求，通过国家或相关部门环保认证。</w:t>
      </w:r>
    </w:p>
    <w:p w14:paraId="029C6750">
      <w:pPr>
        <w:spacing w:line="360" w:lineRule="auto"/>
        <w:ind w:firstLine="480" w:firstLineChars="200"/>
        <w:rPr>
          <w:rFonts w:ascii="宋体"/>
          <w:color w:val="000000"/>
          <w:sz w:val="24"/>
          <w:lang w:val="zh-CN"/>
        </w:rPr>
      </w:pPr>
      <w:r>
        <w:rPr>
          <w:rFonts w:hint="eastAsia" w:ascii="宋体"/>
          <w:color w:val="000000"/>
          <w:sz w:val="24"/>
          <w:lang w:val="zh-CN"/>
        </w:rPr>
        <w:t>2、乙方必须严格按照甲方招标文件以及相关答疑和说明的具体要求确保产品质量。</w:t>
      </w:r>
    </w:p>
    <w:p w14:paraId="6FC8CCBF">
      <w:pPr>
        <w:autoSpaceDE w:val="0"/>
        <w:autoSpaceDN w:val="0"/>
        <w:adjustRightInd w:val="0"/>
        <w:spacing w:line="360" w:lineRule="auto"/>
        <w:ind w:firstLine="420"/>
        <w:jc w:val="left"/>
        <w:rPr>
          <w:rFonts w:ascii="宋体"/>
          <w:color w:val="000000"/>
          <w:sz w:val="24"/>
          <w:lang w:val="zh-CN"/>
        </w:rPr>
      </w:pPr>
      <w:r>
        <w:rPr>
          <w:sz w:val="24"/>
        </w:rPr>
        <w:t>3</w:t>
      </w:r>
      <w:r>
        <w:rPr>
          <w:rFonts w:hint="eastAsia"/>
          <w:sz w:val="24"/>
        </w:rPr>
        <w:t>、</w:t>
      </w:r>
      <w:r>
        <w:rPr>
          <w:rFonts w:hint="eastAsia" w:ascii="宋体"/>
          <w:color w:val="000000"/>
          <w:sz w:val="24"/>
          <w:lang w:val="zh-CN"/>
        </w:rPr>
        <w:t>乙方所提供的货物的技术规格应与招标文件规定的技术规格及所附的“技术规格响应表”相一致；若技术性能无特殊说明，则按国家有关部门最新颁布的标准及规范为准。</w:t>
      </w:r>
    </w:p>
    <w:p w14:paraId="7C2EFDBF">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4、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0E0A73A8">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第六条 进场及安装</w:t>
      </w:r>
    </w:p>
    <w:p w14:paraId="12C0E64E">
      <w:pPr>
        <w:spacing w:line="360" w:lineRule="auto"/>
        <w:ind w:firstLine="480" w:firstLineChars="200"/>
        <w:rPr>
          <w:rFonts w:ascii="宋体"/>
          <w:color w:val="000000"/>
          <w:sz w:val="24"/>
          <w:lang w:val="zh-CN"/>
        </w:rPr>
      </w:pPr>
      <w:r>
        <w:rPr>
          <w:rFonts w:hint="eastAsia" w:ascii="宋体"/>
          <w:color w:val="000000"/>
          <w:sz w:val="24"/>
          <w:lang w:val="zh-CN"/>
        </w:rPr>
        <w:t>1、产品由乙方负责运输到甲方指定地点，运输费用等由乙方自行承担。</w:t>
      </w:r>
    </w:p>
    <w:p w14:paraId="2F672941">
      <w:pPr>
        <w:spacing w:line="360" w:lineRule="auto"/>
        <w:ind w:firstLine="480" w:firstLineChars="200"/>
        <w:rPr>
          <w:rFonts w:ascii="宋体"/>
          <w:color w:val="000000"/>
          <w:sz w:val="24"/>
          <w:lang w:val="zh-CN"/>
        </w:rPr>
      </w:pPr>
      <w:r>
        <w:rPr>
          <w:rFonts w:hint="eastAsia" w:ascii="宋体"/>
          <w:color w:val="000000"/>
          <w:sz w:val="24"/>
          <w:lang w:val="zh-CN"/>
        </w:rPr>
        <w:t>2、当工地符合进场安装条件时，甲方通知乙方进场安装，乙方应立即进入安装现场。</w:t>
      </w:r>
    </w:p>
    <w:p w14:paraId="799AC18D">
      <w:pPr>
        <w:spacing w:line="360" w:lineRule="auto"/>
        <w:ind w:firstLine="480" w:firstLineChars="200"/>
        <w:rPr>
          <w:rFonts w:ascii="宋体"/>
          <w:color w:val="000000"/>
          <w:sz w:val="24"/>
          <w:lang w:val="zh-CN"/>
        </w:rPr>
      </w:pPr>
      <w:r>
        <w:rPr>
          <w:rFonts w:hint="eastAsia" w:ascii="宋体"/>
          <w:color w:val="000000"/>
          <w:sz w:val="24"/>
          <w:lang w:val="zh-CN"/>
        </w:rPr>
        <w:t>3、产品进场搬运由乙方负责，甲方给予协调，搬运过程中产品及其它的损坏均由乙方承担。</w:t>
      </w:r>
    </w:p>
    <w:p w14:paraId="7786694B">
      <w:pPr>
        <w:autoSpaceDE w:val="0"/>
        <w:autoSpaceDN w:val="0"/>
        <w:adjustRightInd w:val="0"/>
        <w:spacing w:line="360" w:lineRule="auto"/>
        <w:ind w:firstLine="420"/>
        <w:jc w:val="left"/>
        <w:rPr>
          <w:rFonts w:ascii="宋体"/>
          <w:color w:val="000000"/>
          <w:sz w:val="24"/>
          <w:lang w:val="zh-CN"/>
        </w:rPr>
      </w:pPr>
      <w:r>
        <w:rPr>
          <w:sz w:val="24"/>
        </w:rPr>
        <w:t>4</w:t>
      </w:r>
      <w:r>
        <w:rPr>
          <w:rFonts w:hint="eastAsia"/>
          <w:sz w:val="24"/>
        </w:rPr>
        <w:t>、产品进场后至验收合格交付之日前，保管工作由乙方负责，甲方应给予配合。保管费用及产品缺失由乙方自行承担。</w:t>
      </w:r>
    </w:p>
    <w:p w14:paraId="41FD7735">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第七条 交货和验收</w:t>
      </w:r>
    </w:p>
    <w:p w14:paraId="76479692">
      <w:pPr>
        <w:spacing w:line="360" w:lineRule="auto"/>
        <w:ind w:firstLine="480" w:firstLineChars="200"/>
        <w:rPr>
          <w:rFonts w:ascii="宋体"/>
          <w:color w:val="000000"/>
          <w:sz w:val="24"/>
          <w:lang w:val="zh-CN"/>
        </w:rPr>
      </w:pPr>
      <w:r>
        <w:rPr>
          <w:rFonts w:hint="eastAsia" w:ascii="宋体"/>
          <w:color w:val="000000"/>
          <w:sz w:val="24"/>
          <w:lang w:val="zh-CN"/>
        </w:rPr>
        <w:t>1、乙方应当在</w:t>
      </w:r>
      <w:r>
        <w:rPr>
          <w:rFonts w:hint="eastAsia" w:ascii="宋体"/>
          <w:color w:val="000000"/>
          <w:sz w:val="24"/>
          <w:u w:val="single"/>
          <w:lang w:val="zh-CN"/>
        </w:rPr>
        <w:t xml:space="preserve"> </w:t>
      </w:r>
      <w:r>
        <w:rPr>
          <w:rFonts w:hint="eastAsia" w:ascii="宋体"/>
          <w:color w:val="000000"/>
          <w:sz w:val="24"/>
          <w:u w:val="single"/>
          <w:lang w:val="en-US" w:eastAsia="zh-CN"/>
        </w:rPr>
        <w:t>8</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u w:val="single"/>
          <w:lang w:val="en-US" w:eastAsia="zh-CN"/>
        </w:rPr>
        <w:t>20</w:t>
      </w:r>
      <w:r>
        <w:rPr>
          <w:rFonts w:hint="eastAsia" w:ascii="宋体"/>
          <w:color w:val="000000"/>
          <w:sz w:val="24"/>
          <w:u w:val="single"/>
          <w:lang w:val="zh-CN"/>
        </w:rPr>
        <w:t xml:space="preserve"> </w:t>
      </w:r>
      <w:r>
        <w:rPr>
          <w:rFonts w:hint="eastAsia" w:ascii="宋体"/>
          <w:color w:val="000000"/>
          <w:sz w:val="24"/>
          <w:lang w:val="zh-CN"/>
        </w:rPr>
        <w:t>日前完成货物交付 ，</w:t>
      </w:r>
      <w:r>
        <w:rPr>
          <w:rFonts w:hint="eastAsia" w:ascii="宋体"/>
          <w:color w:val="000000"/>
          <w:sz w:val="24"/>
          <w:u w:val="single"/>
        </w:rPr>
        <w:t xml:space="preserve"> </w:t>
      </w:r>
      <w:r>
        <w:rPr>
          <w:rFonts w:hint="eastAsia" w:ascii="宋体"/>
          <w:color w:val="000000"/>
          <w:sz w:val="24"/>
          <w:u w:val="single"/>
          <w:lang w:val="en-US" w:eastAsia="zh-CN"/>
        </w:rPr>
        <w:t>8</w:t>
      </w:r>
      <w:r>
        <w:rPr>
          <w:rFonts w:hint="eastAsia" w:ascii="宋体"/>
          <w:color w:val="000000"/>
          <w:sz w:val="24"/>
          <w:u w:val="single"/>
        </w:rPr>
        <w:t xml:space="preserve"> </w:t>
      </w:r>
      <w:r>
        <w:rPr>
          <w:rFonts w:hint="eastAsia" w:ascii="宋体"/>
          <w:color w:val="000000"/>
          <w:sz w:val="24"/>
          <w:u w:val="single"/>
          <w:lang w:val="zh-CN"/>
        </w:rPr>
        <w:t xml:space="preserve"> </w:t>
      </w:r>
      <w:r>
        <w:rPr>
          <w:rFonts w:hint="eastAsia" w:ascii="宋体"/>
          <w:color w:val="000000"/>
          <w:sz w:val="24"/>
          <w:lang w:val="zh-CN"/>
        </w:rPr>
        <w:t>月</w:t>
      </w:r>
      <w:r>
        <w:rPr>
          <w:rFonts w:hint="eastAsia" w:ascii="宋体"/>
          <w:color w:val="000000"/>
          <w:sz w:val="24"/>
          <w:u w:val="single"/>
          <w:lang w:val="zh-CN"/>
        </w:rPr>
        <w:t xml:space="preserve"> </w:t>
      </w:r>
      <w:r>
        <w:rPr>
          <w:rFonts w:hint="eastAsia" w:ascii="宋体"/>
          <w:color w:val="000000"/>
          <w:sz w:val="24"/>
          <w:u w:val="single"/>
        </w:rPr>
        <w:t xml:space="preserve"> </w:t>
      </w:r>
      <w:r>
        <w:rPr>
          <w:rFonts w:hint="eastAsia" w:ascii="宋体"/>
          <w:color w:val="000000"/>
          <w:sz w:val="24"/>
          <w:u w:val="single"/>
          <w:lang w:val="en-US" w:eastAsia="zh-CN"/>
        </w:rPr>
        <w:t>25</w:t>
      </w:r>
      <w:bookmarkStart w:id="0" w:name="_GoBack"/>
      <w:bookmarkEnd w:id="0"/>
      <w:r>
        <w:rPr>
          <w:rFonts w:hint="eastAsia" w:ascii="宋体"/>
          <w:color w:val="000000"/>
          <w:sz w:val="24"/>
          <w:u w:val="single"/>
          <w:lang w:val="zh-CN"/>
        </w:rPr>
        <w:t xml:space="preserve"> </w:t>
      </w:r>
      <w:r>
        <w:rPr>
          <w:rFonts w:hint="eastAsia" w:ascii="宋体"/>
          <w:color w:val="000000"/>
          <w:sz w:val="24"/>
          <w:lang w:val="zh-CN"/>
        </w:rPr>
        <w:t xml:space="preserve">日前完成安装验收，交付甲方正常使用； </w:t>
      </w:r>
    </w:p>
    <w:p w14:paraId="3D89E238">
      <w:pPr>
        <w:spacing w:line="360" w:lineRule="auto"/>
        <w:ind w:firstLine="480" w:firstLineChars="200"/>
        <w:rPr>
          <w:rFonts w:ascii="宋体"/>
          <w:color w:val="000000"/>
          <w:sz w:val="24"/>
          <w:lang w:val="zh-CN"/>
        </w:rPr>
      </w:pPr>
      <w:r>
        <w:rPr>
          <w:rFonts w:hint="eastAsia" w:ascii="宋体"/>
          <w:color w:val="000000"/>
          <w:sz w:val="24"/>
          <w:lang w:val="zh-CN"/>
        </w:rPr>
        <w:t>2、乙方交付的货物应当完全符合本合同或者招投标文件所规定的货物、数量和规格要求。乙方提供的货物不符合招投标文件和合同规定的，甲方有权拒收货物，由此引起的风险，由乙方承担。</w:t>
      </w:r>
    </w:p>
    <w:p w14:paraId="419D4679">
      <w:pPr>
        <w:spacing w:line="360" w:lineRule="auto"/>
        <w:ind w:firstLine="480" w:firstLineChars="200"/>
        <w:rPr>
          <w:rFonts w:ascii="宋体"/>
          <w:color w:val="000000"/>
          <w:sz w:val="24"/>
          <w:lang w:val="zh-CN"/>
        </w:rPr>
      </w:pPr>
      <w:r>
        <w:rPr>
          <w:rFonts w:hint="eastAsia" w:ascii="宋体"/>
          <w:color w:val="000000"/>
          <w:sz w:val="24"/>
          <w:lang w:val="zh-CN"/>
        </w:rPr>
        <w:t>3、安装完毕初步验收：全部产品安装完毕，清理现场后，甲乙双方及相关部门共同验收，乙方提供专业检测机构报告（费用由乙方支付）对所安装的家具根据招标文件要求进行专业检测（含甲醛检测），检测合格则验收合格。检测不合格，乙方须立即整改、更换，直至验收合格，所发生的一切费用由乙方负责。</w:t>
      </w:r>
    </w:p>
    <w:p w14:paraId="2A7B4FA0">
      <w:pPr>
        <w:spacing w:line="360" w:lineRule="auto"/>
        <w:ind w:firstLine="480" w:firstLineChars="200"/>
        <w:rPr>
          <w:rFonts w:ascii="宋体"/>
          <w:color w:val="000000"/>
          <w:sz w:val="24"/>
          <w:lang w:val="zh-CN"/>
        </w:rPr>
      </w:pPr>
      <w:r>
        <w:rPr>
          <w:rFonts w:hint="eastAsia" w:ascii="宋体"/>
          <w:color w:val="000000"/>
          <w:sz w:val="24"/>
          <w:lang w:val="zh-CN"/>
        </w:rPr>
        <w:t>4、质保期满，所有货物无质量问题，甲乙双方确认最终质保合格。</w:t>
      </w:r>
    </w:p>
    <w:p w14:paraId="7736FBD8">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第八条 售后服务</w:t>
      </w:r>
    </w:p>
    <w:p w14:paraId="4466601B">
      <w:pPr>
        <w:tabs>
          <w:tab w:val="left" w:pos="1620"/>
        </w:tabs>
        <w:autoSpaceDE w:val="0"/>
        <w:autoSpaceDN w:val="0"/>
        <w:adjustRightInd w:val="0"/>
        <w:spacing w:line="360" w:lineRule="auto"/>
        <w:ind w:firstLine="420"/>
        <w:jc w:val="left"/>
        <w:rPr>
          <w:sz w:val="24"/>
        </w:rPr>
      </w:pPr>
      <w:r>
        <w:rPr>
          <w:rFonts w:hint="eastAsia" w:ascii="宋体"/>
          <w:color w:val="000000"/>
          <w:sz w:val="24"/>
          <w:lang w:val="zh-CN"/>
        </w:rPr>
        <w:t>1、乙方应按照国家有关法律法规规章和“三包”规定以及</w:t>
      </w:r>
      <w:r>
        <w:rPr>
          <w:rFonts w:hint="eastAsia"/>
          <w:sz w:val="24"/>
        </w:rPr>
        <w:t>乙方投标书中《售后服务承诺书》执行；</w:t>
      </w:r>
    </w:p>
    <w:p w14:paraId="57B1C22D">
      <w:pPr>
        <w:spacing w:line="360" w:lineRule="auto"/>
        <w:ind w:firstLine="480" w:firstLineChars="200"/>
        <w:rPr>
          <w:rFonts w:ascii="宋体"/>
          <w:color w:val="000000"/>
          <w:sz w:val="24"/>
          <w:lang w:val="zh-CN"/>
        </w:rPr>
      </w:pPr>
      <w:r>
        <w:rPr>
          <w:rFonts w:hint="eastAsia" w:ascii="宋体"/>
          <w:color w:val="000000"/>
          <w:sz w:val="24"/>
          <w:lang w:val="zh-CN"/>
        </w:rPr>
        <w:t>2、在免费质保期内出现产品质量问题，乙方在收到甲方通知后，必须在4小时内到达甲方问题现场，与甲方协商并及时解决。4小时没有答复或处理问题的，视为乙方承认质量问题并承担由此发生的一切费用。如因甲方使用不当而造成的问题，乙方应协助解决，并酌情收取材料成本费和安装费。</w:t>
      </w:r>
    </w:p>
    <w:p w14:paraId="6C6E05B5">
      <w:pPr>
        <w:spacing w:line="360" w:lineRule="auto"/>
        <w:ind w:firstLine="480" w:firstLineChars="200"/>
        <w:rPr>
          <w:rFonts w:ascii="宋体"/>
          <w:color w:val="000000"/>
          <w:sz w:val="24"/>
          <w:lang w:val="zh-CN"/>
        </w:rPr>
      </w:pPr>
      <w:r>
        <w:rPr>
          <w:rFonts w:hint="eastAsia" w:ascii="宋体"/>
          <w:color w:val="000000"/>
          <w:sz w:val="24"/>
          <w:lang w:val="zh-CN"/>
        </w:rPr>
        <w:t>3、质保期内经三次及以上维修仍出现故障的，乙方无条件更换合同约定的新家具。</w:t>
      </w:r>
    </w:p>
    <w:p w14:paraId="5AF8C5E3">
      <w:pPr>
        <w:spacing w:line="360" w:lineRule="auto"/>
        <w:ind w:firstLine="480" w:firstLineChars="200"/>
        <w:rPr>
          <w:rFonts w:ascii="宋体"/>
          <w:color w:val="000000"/>
          <w:sz w:val="24"/>
          <w:lang w:val="zh-CN"/>
        </w:rPr>
      </w:pPr>
      <w:r>
        <w:rPr>
          <w:rFonts w:hint="eastAsia" w:ascii="宋体"/>
          <w:color w:val="000000"/>
          <w:sz w:val="24"/>
          <w:lang w:val="zh-CN"/>
        </w:rPr>
        <w:t>4、质保期内，乙方负责对其提供的货物进行维修，不再收取任何费用；免费质保期外出现产品质量问题，乙方在收到甲方通知后，应派员到甲方问题现场，与甲方协商并及时解决，并酌情收取材料成本费和适当的维修费，甲方可提供协助工作。</w:t>
      </w:r>
    </w:p>
    <w:p w14:paraId="127ED3E9">
      <w:pPr>
        <w:autoSpaceDE w:val="0"/>
        <w:autoSpaceDN w:val="0"/>
        <w:adjustRightInd w:val="0"/>
        <w:spacing w:line="360" w:lineRule="auto"/>
        <w:ind w:firstLine="420"/>
        <w:jc w:val="left"/>
        <w:rPr>
          <w:rFonts w:ascii="宋体"/>
          <w:b/>
          <w:color w:val="000000"/>
          <w:sz w:val="24"/>
          <w:lang w:val="zh-CN"/>
        </w:rPr>
      </w:pPr>
      <w:r>
        <w:rPr>
          <w:rFonts w:hint="eastAsia" w:ascii="宋体"/>
          <w:b/>
          <w:color w:val="000000"/>
          <w:sz w:val="24"/>
          <w:lang w:val="zh-CN"/>
        </w:rPr>
        <w:t>第九条 履约保证金</w:t>
      </w:r>
    </w:p>
    <w:p w14:paraId="23ADEECB">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1、履约保证金用以约束乙方在合同履行中的行为，弥补合同执行中由于自身行为可能给甲方带来的各种损失。因乙方原因导致合同未能正常履行的，甲方将扣除成交人的全部履约保证金。合同签订前，乙方应向甲方缴纳中标价5%作为履约保证金。履约保证金应当以支票、汇票、本票或者金融机构、担保机构出具的保函等非现金形式提交；履约保证金的有效期为该项目免费质保期满时止。</w:t>
      </w:r>
    </w:p>
    <w:p w14:paraId="0D9C0D9B">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2、如乙方未能履行合同规定的义务，甲方有权从履约保证金中取得补偿。如造成甲方损失超过履约保证金的，超出部分由乙方继续承担赔偿责任，乙方应自收到甲方书面要求之日起7日内补足履约保证金，并承担由此给甲方造成的损失。</w:t>
      </w:r>
    </w:p>
    <w:p w14:paraId="330466B4">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3、履约保证金扣除甲方应得的补偿后的余额在有效期满后七工作日内无息退还给乙方。</w:t>
      </w:r>
    </w:p>
    <w:p w14:paraId="738F0411">
      <w:pPr>
        <w:autoSpaceDE w:val="0"/>
        <w:autoSpaceDN w:val="0"/>
        <w:adjustRightInd w:val="0"/>
        <w:spacing w:line="360" w:lineRule="auto"/>
        <w:ind w:firstLine="420"/>
        <w:jc w:val="left"/>
        <w:rPr>
          <w:rFonts w:ascii="宋体"/>
          <w:b/>
          <w:bCs/>
          <w:i/>
          <w:iCs/>
          <w:color w:val="000000"/>
          <w:sz w:val="24"/>
          <w:lang w:val="zh-CN"/>
        </w:rPr>
      </w:pPr>
      <w:r>
        <w:rPr>
          <w:rFonts w:hint="eastAsia" w:ascii="宋体"/>
          <w:b/>
          <w:bCs/>
          <w:color w:val="000000"/>
          <w:sz w:val="24"/>
          <w:lang w:val="zh-CN"/>
        </w:rPr>
        <w:t>第十条 合同款支付</w:t>
      </w:r>
    </w:p>
    <w:p w14:paraId="211D1736">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1、本合同项下所有款项均以人民币支付。</w:t>
      </w:r>
    </w:p>
    <w:p w14:paraId="3BE3A5CA">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2、本合同项下的采购资金由甲方自行支付，乙方向甲方开具发票。</w:t>
      </w:r>
    </w:p>
    <w:p w14:paraId="476121C0">
      <w:pPr>
        <w:autoSpaceDE w:val="0"/>
        <w:autoSpaceDN w:val="0"/>
        <w:adjustRightInd w:val="0"/>
        <w:spacing w:line="360" w:lineRule="auto"/>
        <w:ind w:firstLine="420"/>
        <w:jc w:val="left"/>
        <w:rPr>
          <w:rFonts w:ascii="宋体"/>
          <w:b/>
          <w:color w:val="000000"/>
          <w:sz w:val="24"/>
          <w:lang w:val="zh-CN"/>
        </w:rPr>
      </w:pPr>
      <w:r>
        <w:rPr>
          <w:rFonts w:hint="eastAsia" w:ascii="宋体"/>
          <w:b/>
          <w:color w:val="000000"/>
          <w:sz w:val="24"/>
          <w:lang w:val="zh-CN"/>
        </w:rPr>
        <w:t>3、付款方式：</w:t>
      </w:r>
    </w:p>
    <w:p w14:paraId="7626AF53">
      <w:pPr>
        <w:autoSpaceDE w:val="0"/>
        <w:autoSpaceDN w:val="0"/>
        <w:adjustRightInd w:val="0"/>
        <w:spacing w:line="360" w:lineRule="auto"/>
        <w:ind w:firstLine="420"/>
        <w:jc w:val="left"/>
        <w:rPr>
          <w:rFonts w:ascii="宋体"/>
          <w:color w:val="000000"/>
          <w:sz w:val="24"/>
          <w:lang w:val="zh-CN"/>
        </w:rPr>
      </w:pPr>
      <w:r>
        <w:rPr>
          <w:rFonts w:hint="eastAsia" w:ascii="宋体"/>
          <w:color w:val="000000"/>
          <w:sz w:val="24"/>
          <w:lang w:val="zh-CN"/>
        </w:rPr>
        <w:t>付款：本项目货物、材料安装结束、调试合格，经专业验收合格后，</w:t>
      </w:r>
      <w:r>
        <w:rPr>
          <w:rFonts w:hint="eastAsia" w:ascii="宋体"/>
          <w:color w:val="000000"/>
          <w:sz w:val="24"/>
        </w:rPr>
        <w:t>乙方向甲方开具符合规定的票据，</w:t>
      </w:r>
      <w:r>
        <w:rPr>
          <w:rFonts w:hint="eastAsia" w:ascii="宋体"/>
          <w:color w:val="000000"/>
          <w:sz w:val="24"/>
          <w:lang w:val="zh-CN"/>
        </w:rPr>
        <w:t>甲方</w:t>
      </w:r>
      <w:r>
        <w:rPr>
          <w:rFonts w:hint="eastAsia" w:ascii="宋体"/>
          <w:color w:val="000000"/>
          <w:sz w:val="24"/>
        </w:rPr>
        <w:t>收到票据并确认无误后</w:t>
      </w:r>
      <w:r>
        <w:rPr>
          <w:rFonts w:hint="eastAsia" w:ascii="宋体"/>
          <w:color w:val="000000"/>
          <w:sz w:val="24"/>
          <w:lang w:val="zh-CN"/>
        </w:rPr>
        <w:t>付清乙方全部货款。</w:t>
      </w:r>
      <w:r>
        <w:rPr>
          <w:rFonts w:hint="eastAsia" w:ascii="宋体"/>
          <w:color w:val="000000"/>
          <w:sz w:val="24"/>
        </w:rPr>
        <w:t>否则，甲方有权暂缓支付相应款项，因此产生的损失及违约责任由乙方承担。</w:t>
      </w:r>
    </w:p>
    <w:p w14:paraId="5CFE23CB">
      <w:pPr>
        <w:autoSpaceDE w:val="0"/>
        <w:autoSpaceDN w:val="0"/>
        <w:adjustRightInd w:val="0"/>
        <w:spacing w:line="360" w:lineRule="auto"/>
        <w:ind w:firstLine="420"/>
        <w:jc w:val="left"/>
        <w:rPr>
          <w:rFonts w:ascii="宋体"/>
          <w:b/>
          <w:bCs/>
          <w:color w:val="000000"/>
          <w:sz w:val="24"/>
          <w:lang w:val="zh-CN"/>
        </w:rPr>
      </w:pPr>
      <w:r>
        <w:rPr>
          <w:rFonts w:hint="eastAsia" w:ascii="宋体"/>
          <w:b/>
          <w:bCs/>
          <w:color w:val="000000"/>
          <w:sz w:val="24"/>
          <w:lang w:val="zh-CN"/>
        </w:rPr>
        <w:t>第十一条 违约责任</w:t>
      </w:r>
    </w:p>
    <w:p w14:paraId="0A87D72F">
      <w:pPr>
        <w:autoSpaceDE w:val="0"/>
        <w:autoSpaceDN w:val="0"/>
        <w:adjustRightInd w:val="0"/>
        <w:spacing w:line="360" w:lineRule="auto"/>
        <w:ind w:firstLine="480" w:firstLineChars="200"/>
        <w:jc w:val="left"/>
        <w:rPr>
          <w:rFonts w:ascii="宋体" w:hAnsi="等线" w:cs="宋体"/>
          <w:color w:val="000000"/>
          <w:sz w:val="24"/>
        </w:rPr>
      </w:pPr>
      <w:r>
        <w:rPr>
          <w:rFonts w:hint="eastAsia" w:ascii="宋体" w:hAnsi="等线" w:cs="宋体"/>
          <w:color w:val="000000"/>
          <w:sz w:val="24"/>
        </w:rPr>
        <w:t>1、因安装条件不具备所造成的供货延期，责任应由甲方负责，以甲方代表签字确认为准，相应的进场时间及安装工期顺延，乙方不承担此延误责任。具体顺延时间须经甲方确认。</w:t>
      </w:r>
    </w:p>
    <w:p w14:paraId="22AD9696">
      <w:pPr>
        <w:autoSpaceDE w:val="0"/>
        <w:autoSpaceDN w:val="0"/>
        <w:adjustRightInd w:val="0"/>
        <w:spacing w:line="360" w:lineRule="auto"/>
        <w:ind w:firstLine="480" w:firstLineChars="200"/>
        <w:jc w:val="left"/>
        <w:rPr>
          <w:rFonts w:ascii="宋体" w:hAnsi="等线"/>
          <w:sz w:val="24"/>
        </w:rPr>
      </w:pPr>
      <w:r>
        <w:rPr>
          <w:rFonts w:hint="eastAsia" w:ascii="宋体" w:hAnsi="等线" w:cs="宋体"/>
          <w:color w:val="000000"/>
          <w:sz w:val="24"/>
        </w:rPr>
        <w:t>2、如果甲方无任何理由拒收家具，致使不能按期履行合同的，甲方应向乙方偿付合同总价</w:t>
      </w:r>
      <w:r>
        <w:rPr>
          <w:rFonts w:hint="eastAsia" w:ascii="宋体" w:hAnsi="等线"/>
          <w:sz w:val="24"/>
        </w:rPr>
        <w:t>2%的违约金。</w:t>
      </w:r>
    </w:p>
    <w:p w14:paraId="3F139D44">
      <w:pPr>
        <w:autoSpaceDE w:val="0"/>
        <w:autoSpaceDN w:val="0"/>
        <w:adjustRightInd w:val="0"/>
        <w:spacing w:line="360" w:lineRule="auto"/>
        <w:ind w:firstLine="480" w:firstLineChars="200"/>
        <w:jc w:val="left"/>
        <w:rPr>
          <w:rFonts w:ascii="宋体" w:hAnsi="等线"/>
          <w:sz w:val="24"/>
        </w:rPr>
      </w:pPr>
      <w:r>
        <w:rPr>
          <w:rFonts w:hint="eastAsia" w:ascii="宋体" w:hAnsi="等线"/>
          <w:sz w:val="24"/>
        </w:rPr>
        <w:t>3、乙方逾期交付货物的，乙方每日应按合同总金额0.5%向甲方支付违约金，逾期10个日以上的，甲方有权解除本合同。</w:t>
      </w:r>
    </w:p>
    <w:p w14:paraId="583111BB">
      <w:pPr>
        <w:autoSpaceDE w:val="0"/>
        <w:autoSpaceDN w:val="0"/>
        <w:adjustRightInd w:val="0"/>
        <w:spacing w:line="360" w:lineRule="auto"/>
        <w:ind w:firstLine="480" w:firstLineChars="200"/>
        <w:jc w:val="left"/>
        <w:rPr>
          <w:rFonts w:ascii="宋体" w:hAnsi="等线"/>
          <w:sz w:val="24"/>
        </w:rPr>
      </w:pPr>
      <w:r>
        <w:rPr>
          <w:rFonts w:hint="eastAsia" w:ascii="宋体" w:hAnsi="等线"/>
          <w:sz w:val="24"/>
        </w:rPr>
        <w:t>4、乙方所交货物品种、型号、规格、技术参数、质量不符合招标文件及合同规定标准的，甲方有权拒收该货物，乙方愿意更换货物但逾期交货的，按乙方逾期交货处理。乙方重新交付货物仍不符合约定或衣服拒绝更换货物的，甲方可单方面解除合同。</w:t>
      </w:r>
    </w:p>
    <w:p w14:paraId="2A5A5EC1">
      <w:pPr>
        <w:autoSpaceDE w:val="0"/>
        <w:autoSpaceDN w:val="0"/>
        <w:adjustRightInd w:val="0"/>
        <w:spacing w:line="360" w:lineRule="auto"/>
        <w:ind w:firstLine="480" w:firstLineChars="200"/>
        <w:jc w:val="left"/>
        <w:rPr>
          <w:rFonts w:ascii="宋体" w:hAnsi="等线"/>
          <w:sz w:val="24"/>
        </w:rPr>
      </w:pPr>
      <w:r>
        <w:rPr>
          <w:rFonts w:hint="eastAsia" w:ascii="宋体" w:hAnsi="等线"/>
          <w:sz w:val="24"/>
        </w:rPr>
        <w:t>5、乙方因逾期或其他违约行为导致甲方解除合同的，乙方应向甲方支付合同总值5%的违约金，如造成甲方损失超过违约金的，超出部分由乙方继续承担赔偿责任。</w:t>
      </w:r>
    </w:p>
    <w:p w14:paraId="40BF09BA">
      <w:pPr>
        <w:widowControl/>
        <w:adjustRightInd w:val="0"/>
        <w:spacing w:line="360" w:lineRule="auto"/>
        <w:ind w:firstLine="420"/>
        <w:jc w:val="left"/>
        <w:rPr>
          <w:rFonts w:ascii="宋体" w:hAnsi="宋体" w:cs="宋体"/>
          <w:b/>
          <w:bCs/>
          <w:color w:val="000000"/>
          <w:sz w:val="24"/>
          <w:lang w:val="zh-CN"/>
        </w:rPr>
      </w:pPr>
      <w:r>
        <w:rPr>
          <w:rFonts w:hint="eastAsia" w:ascii="宋体" w:hAnsi="宋体" w:cs="宋体"/>
          <w:b/>
          <w:bCs/>
          <w:color w:val="000000"/>
          <w:sz w:val="24"/>
          <w:lang w:val="zh-CN"/>
        </w:rPr>
        <w:t>第十二条 合同的变更和终止</w:t>
      </w:r>
    </w:p>
    <w:p w14:paraId="24FCDA34">
      <w:pPr>
        <w:widowControl/>
        <w:adjustRightInd w:val="0"/>
        <w:spacing w:line="360" w:lineRule="auto"/>
        <w:ind w:firstLine="480" w:firstLineChars="200"/>
        <w:jc w:val="left"/>
        <w:rPr>
          <w:rFonts w:ascii="宋体" w:hAnsi="宋体" w:cs="宋体"/>
          <w:color w:val="000000"/>
          <w:sz w:val="24"/>
          <w:lang w:val="zh-CN"/>
        </w:rPr>
      </w:pPr>
      <w:r>
        <w:rPr>
          <w:rFonts w:hint="eastAsia" w:ascii="宋体" w:hAnsi="宋体"/>
          <w:color w:val="000000"/>
          <w:sz w:val="24"/>
          <w:lang w:val="zh-CN"/>
        </w:rPr>
        <w:t>1</w:t>
      </w:r>
      <w:r>
        <w:rPr>
          <w:rFonts w:hint="eastAsia" w:ascii="宋体" w:hAnsi="宋体" w:cs="宋体"/>
          <w:color w:val="000000"/>
          <w:sz w:val="24"/>
          <w:lang w:val="zh-CN"/>
        </w:rPr>
        <w:t>、除</w:t>
      </w:r>
      <w:r>
        <w:rPr>
          <w:rFonts w:hint="eastAsia" w:ascii="宋体" w:hAnsi="宋体" w:cs="宋体"/>
          <w:color w:val="000000"/>
          <w:sz w:val="24"/>
        </w:rPr>
        <w:t>本合同约定及</w:t>
      </w:r>
      <w:r>
        <w:rPr>
          <w:rFonts w:hint="eastAsia" w:ascii="宋体" w:hAnsi="宋体" w:cs="宋体"/>
          <w:color w:val="000000"/>
          <w:sz w:val="24"/>
          <w:lang w:val="zh-CN"/>
        </w:rPr>
        <w:t>《政府采购法》第</w:t>
      </w:r>
      <w:r>
        <w:rPr>
          <w:rFonts w:hint="eastAsia" w:ascii="宋体" w:hAnsi="宋体"/>
          <w:color w:val="000000"/>
          <w:sz w:val="24"/>
          <w:lang w:val="zh-CN"/>
        </w:rPr>
        <w:t>50</w:t>
      </w:r>
      <w:r>
        <w:rPr>
          <w:rFonts w:hint="eastAsia" w:ascii="宋体" w:hAnsi="宋体" w:cs="宋体"/>
          <w:color w:val="000000"/>
          <w:sz w:val="24"/>
          <w:lang w:val="zh-CN"/>
        </w:rPr>
        <w:t>条第二款规定的情形外，本合同一经签订，甲乙双方不得擅自变更、中止或终止合同。</w:t>
      </w:r>
    </w:p>
    <w:p w14:paraId="651F0D58">
      <w:pPr>
        <w:widowControl/>
        <w:adjustRightInd w:val="0"/>
        <w:spacing w:line="360" w:lineRule="auto"/>
        <w:ind w:firstLine="480" w:firstLineChars="200"/>
        <w:jc w:val="left"/>
        <w:rPr>
          <w:rFonts w:ascii="宋体" w:hAnsi="宋体" w:cs="宋体"/>
          <w:color w:val="000000"/>
          <w:sz w:val="24"/>
        </w:rPr>
      </w:pPr>
      <w:r>
        <w:rPr>
          <w:rFonts w:hint="eastAsia" w:ascii="宋体" w:hAnsi="宋体"/>
          <w:color w:val="000000"/>
          <w:sz w:val="24"/>
          <w:lang w:val="zh-CN"/>
        </w:rPr>
        <w:t>2</w:t>
      </w:r>
      <w:r>
        <w:rPr>
          <w:rFonts w:hint="eastAsia" w:ascii="宋体" w:hAnsi="宋体" w:cs="宋体"/>
          <w:color w:val="000000"/>
          <w:sz w:val="24"/>
          <w:lang w:val="zh-CN"/>
        </w:rPr>
        <w:t>、</w:t>
      </w:r>
      <w:r>
        <w:rPr>
          <w:rFonts w:hint="eastAsia" w:ascii="宋体" w:hAnsi="宋体" w:cs="宋体"/>
          <w:color w:val="000000"/>
          <w:sz w:val="24"/>
        </w:rPr>
        <w:t>除发生法律规定的不能预见、不能避免并不能克服的客观情况外，甲乙双方不得放弃或拒绝履行合同。乙方放弃或拒绝履行合同，保证金不予退还，在三年内不得参加采购人组织的政府采购活动。</w:t>
      </w:r>
    </w:p>
    <w:p w14:paraId="77A61CC8">
      <w:pPr>
        <w:widowControl/>
        <w:adjustRightInd w:val="0"/>
        <w:spacing w:line="360" w:lineRule="auto"/>
        <w:ind w:firstLine="420"/>
        <w:jc w:val="left"/>
        <w:rPr>
          <w:rFonts w:ascii="宋体" w:hAnsi="宋体" w:cs="宋体"/>
          <w:b/>
          <w:bCs/>
          <w:color w:val="000000"/>
          <w:sz w:val="24"/>
          <w:lang w:val="zh-CN"/>
        </w:rPr>
      </w:pPr>
      <w:r>
        <w:rPr>
          <w:rFonts w:hint="eastAsia" w:ascii="宋体" w:hAnsi="宋体" w:cs="宋体"/>
          <w:b/>
          <w:bCs/>
          <w:color w:val="000000"/>
          <w:sz w:val="24"/>
          <w:lang w:val="zh-CN"/>
        </w:rPr>
        <w:t>第十三条 合同的转让</w:t>
      </w:r>
    </w:p>
    <w:p w14:paraId="1A4B40AF">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乙方不得擅自部分或全部转让其应履行的合同义务。</w:t>
      </w:r>
    </w:p>
    <w:p w14:paraId="7193A079">
      <w:pPr>
        <w:widowControl/>
        <w:adjustRightInd w:val="0"/>
        <w:spacing w:line="360" w:lineRule="auto"/>
        <w:ind w:firstLine="420"/>
        <w:jc w:val="left"/>
        <w:rPr>
          <w:rFonts w:ascii="宋体" w:hAnsi="宋体" w:cs="宋体"/>
          <w:b/>
          <w:bCs/>
          <w:color w:val="000000"/>
          <w:sz w:val="24"/>
          <w:lang w:val="zh-CN"/>
        </w:rPr>
      </w:pPr>
      <w:r>
        <w:rPr>
          <w:rFonts w:hint="eastAsia" w:ascii="宋体" w:hAnsi="宋体" w:cs="宋体"/>
          <w:b/>
          <w:bCs/>
          <w:color w:val="000000"/>
          <w:sz w:val="24"/>
          <w:lang w:val="zh-CN"/>
        </w:rPr>
        <w:t>第十四条 争议的解决</w:t>
      </w:r>
    </w:p>
    <w:p w14:paraId="7184D781">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1、因货物的质量问题发生争议的，应当</w:t>
      </w:r>
      <w:r>
        <w:rPr>
          <w:rFonts w:hint="eastAsia" w:ascii="宋体" w:hAnsi="宋体" w:cs="宋体"/>
          <w:color w:val="000000"/>
          <w:sz w:val="24"/>
        </w:rPr>
        <w:t>由甲方</w:t>
      </w:r>
      <w:r>
        <w:rPr>
          <w:rFonts w:hint="eastAsia" w:ascii="宋体" w:hAnsi="宋体" w:cs="宋体"/>
          <w:color w:val="000000"/>
          <w:sz w:val="24"/>
          <w:lang w:val="zh-CN"/>
        </w:rPr>
        <w:t>邀请</w:t>
      </w:r>
      <w:r>
        <w:rPr>
          <w:rFonts w:hint="eastAsia" w:ascii="宋体" w:hAnsi="宋体" w:cs="宋体"/>
          <w:color w:val="000000"/>
          <w:sz w:val="24"/>
        </w:rPr>
        <w:t>有资质</w:t>
      </w:r>
      <w:r>
        <w:rPr>
          <w:rFonts w:hint="eastAsia" w:ascii="宋体" w:hAnsi="宋体" w:cs="宋体"/>
          <w:color w:val="000000"/>
          <w:sz w:val="24"/>
          <w:lang w:val="zh-CN"/>
        </w:rPr>
        <w:t>的质量检测机构对货物质量进行鉴定。货物符合标准的，鉴定费由甲方承担；货物不符合质量标准的，鉴定费由乙方承担。</w:t>
      </w:r>
    </w:p>
    <w:p w14:paraId="346C68C8">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2、因履行本合同引起的或与本合同有关的争议，甲、乙双方应首先通过友好协商解决，如果协商不能解决争议，则采取以下第（1）种方式解决争议：</w:t>
      </w:r>
    </w:p>
    <w:p w14:paraId="757D3FB0">
      <w:pPr>
        <w:widowControl/>
        <w:adjustRightInd w:val="0"/>
        <w:spacing w:line="360" w:lineRule="auto"/>
        <w:ind w:firstLine="560"/>
        <w:jc w:val="left"/>
        <w:rPr>
          <w:rFonts w:ascii="宋体" w:hAnsi="宋体" w:cs="宋体"/>
          <w:color w:val="000000"/>
          <w:sz w:val="24"/>
          <w:lang w:val="zh-CN"/>
        </w:rPr>
      </w:pPr>
      <w:r>
        <w:rPr>
          <w:rFonts w:hint="eastAsia" w:ascii="宋体" w:hAnsi="宋体" w:cs="宋体"/>
          <w:color w:val="000000"/>
          <w:sz w:val="24"/>
          <w:lang w:val="zh-CN"/>
        </w:rPr>
        <w:t>（1）向甲方所在地有管辖权的人民法院提起诉讼；</w:t>
      </w:r>
    </w:p>
    <w:p w14:paraId="2FC62846">
      <w:pPr>
        <w:widowControl/>
        <w:adjustRightInd w:val="0"/>
        <w:spacing w:line="360" w:lineRule="auto"/>
        <w:ind w:firstLine="560"/>
        <w:jc w:val="left"/>
        <w:rPr>
          <w:rFonts w:ascii="宋体" w:hAnsi="宋体" w:cs="宋体"/>
          <w:color w:val="000000"/>
          <w:sz w:val="24"/>
          <w:lang w:val="zh-CN"/>
        </w:rPr>
      </w:pPr>
      <w:r>
        <w:rPr>
          <w:rFonts w:hint="eastAsia" w:ascii="宋体" w:hAnsi="宋体" w:cs="宋体"/>
          <w:color w:val="000000"/>
          <w:sz w:val="24"/>
          <w:lang w:val="zh-CN"/>
        </w:rPr>
        <w:t>（2）向南京仲裁委员会按其仲裁规则申请仲裁。</w:t>
      </w:r>
    </w:p>
    <w:p w14:paraId="46BC96CE">
      <w:pPr>
        <w:widowControl/>
        <w:adjustRightInd w:val="0"/>
        <w:spacing w:line="360" w:lineRule="auto"/>
        <w:ind w:firstLine="560"/>
        <w:jc w:val="left"/>
        <w:rPr>
          <w:rFonts w:ascii="宋体" w:hAnsi="宋体" w:cs="宋体"/>
          <w:color w:val="000000"/>
          <w:sz w:val="24"/>
          <w:lang w:val="zh-CN"/>
        </w:rPr>
      </w:pPr>
      <w:r>
        <w:rPr>
          <w:rFonts w:hint="eastAsia" w:ascii="宋体" w:hAnsi="宋体" w:cs="宋体"/>
          <w:color w:val="000000"/>
          <w:sz w:val="24"/>
          <w:lang w:val="zh-CN"/>
        </w:rPr>
        <w:t>如没有约定，默认采取第2种方式解决争议。</w:t>
      </w:r>
    </w:p>
    <w:p w14:paraId="259B4E14">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3、在仲裁</w:t>
      </w:r>
      <w:r>
        <w:rPr>
          <w:rFonts w:hint="eastAsia" w:ascii="宋体" w:hAnsi="宋体" w:cs="宋体"/>
          <w:color w:val="000000"/>
          <w:sz w:val="24"/>
        </w:rPr>
        <w:t>或诉讼</w:t>
      </w:r>
      <w:r>
        <w:rPr>
          <w:rFonts w:hint="eastAsia" w:ascii="宋体" w:hAnsi="宋体" w:cs="宋体"/>
          <w:color w:val="000000"/>
          <w:sz w:val="24"/>
          <w:lang w:val="zh-CN"/>
        </w:rPr>
        <w:t>期间，本合同应继续履行。</w:t>
      </w:r>
    </w:p>
    <w:p w14:paraId="40995652">
      <w:pPr>
        <w:widowControl/>
        <w:adjustRightInd w:val="0"/>
        <w:spacing w:line="360" w:lineRule="auto"/>
        <w:ind w:firstLine="420"/>
        <w:jc w:val="left"/>
        <w:rPr>
          <w:rFonts w:ascii="宋体" w:hAnsi="宋体" w:cs="宋体"/>
          <w:b/>
          <w:bCs/>
          <w:color w:val="000000"/>
          <w:sz w:val="24"/>
          <w:lang w:val="zh-CN"/>
        </w:rPr>
      </w:pPr>
      <w:r>
        <w:rPr>
          <w:rFonts w:hint="eastAsia" w:ascii="宋体" w:hAnsi="宋体" w:cs="宋体"/>
          <w:b/>
          <w:bCs/>
          <w:color w:val="000000"/>
          <w:sz w:val="24"/>
          <w:lang w:val="zh-CN"/>
        </w:rPr>
        <w:t xml:space="preserve">第十五条 诚实信用 </w:t>
      </w:r>
    </w:p>
    <w:p w14:paraId="7E0226B2">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乙方应诚实信用，严格按照招标文件要求和投标承诺履行合同，不向甲方进行商业贿赂或者提供不正当利益。</w:t>
      </w:r>
    </w:p>
    <w:p w14:paraId="1D83A5D8">
      <w:pPr>
        <w:widowControl/>
        <w:adjustRightInd w:val="0"/>
        <w:spacing w:line="360" w:lineRule="auto"/>
        <w:ind w:firstLine="420"/>
        <w:jc w:val="left"/>
        <w:rPr>
          <w:rFonts w:ascii="宋体" w:hAnsi="宋体" w:cs="宋体"/>
          <w:b/>
          <w:bCs/>
          <w:color w:val="000000"/>
          <w:sz w:val="24"/>
          <w:lang w:val="zh-CN"/>
        </w:rPr>
      </w:pPr>
      <w:r>
        <w:rPr>
          <w:rFonts w:hint="eastAsia" w:ascii="宋体" w:hAnsi="宋体" w:cs="宋体"/>
          <w:b/>
          <w:bCs/>
          <w:color w:val="000000"/>
          <w:sz w:val="24"/>
          <w:lang w:val="zh-CN"/>
        </w:rPr>
        <w:t>第十六条 合同生效及其他</w:t>
      </w:r>
    </w:p>
    <w:p w14:paraId="161205E1">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1、本合同自</w:t>
      </w:r>
      <w:r>
        <w:rPr>
          <w:rFonts w:hint="eastAsia" w:ascii="宋体" w:hAnsi="宋体" w:cs="宋体"/>
          <w:color w:val="000000"/>
          <w:sz w:val="24"/>
        </w:rPr>
        <w:t>双方签字或盖章</w:t>
      </w:r>
      <w:r>
        <w:rPr>
          <w:rFonts w:hint="eastAsia" w:ascii="宋体" w:hAnsi="宋体" w:cs="宋体"/>
          <w:color w:val="000000"/>
          <w:sz w:val="24"/>
          <w:lang w:val="zh-CN"/>
        </w:rPr>
        <w:t>之日起生效。</w:t>
      </w:r>
    </w:p>
    <w:p w14:paraId="736580B0">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2、本合同一式</w:t>
      </w:r>
      <w:r>
        <w:rPr>
          <w:rFonts w:hint="eastAsia" w:ascii="宋体" w:hAnsi="宋体" w:cs="宋体"/>
          <w:color w:val="000000"/>
          <w:sz w:val="24"/>
        </w:rPr>
        <w:t>十</w:t>
      </w:r>
      <w:r>
        <w:rPr>
          <w:rFonts w:hint="eastAsia" w:ascii="宋体" w:hAnsi="宋体" w:cs="宋体"/>
          <w:color w:val="000000"/>
          <w:sz w:val="24"/>
          <w:lang w:val="zh-CN"/>
        </w:rPr>
        <w:t>份，甲乙双方各执四份，一份交招标人存档，一份报送政府采购监督管理部门备案。</w:t>
      </w:r>
    </w:p>
    <w:p w14:paraId="0AC6B14E">
      <w:pPr>
        <w:widowControl/>
        <w:adjustRightInd w:val="0"/>
        <w:spacing w:line="360" w:lineRule="auto"/>
        <w:ind w:firstLine="420"/>
        <w:jc w:val="left"/>
        <w:rPr>
          <w:rFonts w:ascii="宋体" w:hAnsi="宋体" w:cs="宋体"/>
          <w:color w:val="000000"/>
          <w:sz w:val="24"/>
          <w:lang w:val="zh-CN"/>
        </w:rPr>
      </w:pPr>
      <w:r>
        <w:rPr>
          <w:rFonts w:hint="eastAsia" w:ascii="宋体" w:hAnsi="宋体" w:cs="宋体"/>
          <w:color w:val="000000"/>
          <w:sz w:val="24"/>
          <w:lang w:val="zh-CN"/>
        </w:rPr>
        <w:t>3、本合同应按照中华人民共和国的现行法律进行解释。</w:t>
      </w:r>
    </w:p>
    <w:p w14:paraId="3B9C207A">
      <w:pPr>
        <w:widowControl/>
        <w:adjustRightInd w:val="0"/>
        <w:spacing w:line="360" w:lineRule="auto"/>
        <w:jc w:val="left"/>
        <w:rPr>
          <w:rFonts w:ascii="宋体" w:hAnsi="宋体" w:cs="宋体"/>
          <w:color w:val="000000"/>
          <w:kern w:val="0"/>
          <w:sz w:val="24"/>
          <w:lang w:val="zh-CN"/>
        </w:rPr>
      </w:pPr>
    </w:p>
    <w:p w14:paraId="54358348">
      <w:pPr>
        <w:widowControl/>
        <w:adjustRightInd w:val="0"/>
        <w:spacing w:line="360" w:lineRule="auto"/>
        <w:ind w:firstLine="420"/>
        <w:jc w:val="left"/>
        <w:rPr>
          <w:rFonts w:ascii="宋体" w:hAnsi="宋体" w:cs="宋体"/>
          <w:color w:val="000000"/>
          <w:kern w:val="0"/>
          <w:sz w:val="24"/>
          <w:lang w:val="zh-CN"/>
        </w:rPr>
      </w:pPr>
    </w:p>
    <w:tbl>
      <w:tblPr>
        <w:tblStyle w:val="7"/>
        <w:tblW w:w="5000" w:type="pct"/>
        <w:tblInd w:w="0" w:type="dxa"/>
        <w:tblLayout w:type="autofit"/>
        <w:tblCellMar>
          <w:top w:w="0" w:type="dxa"/>
          <w:left w:w="0" w:type="dxa"/>
          <w:bottom w:w="0" w:type="dxa"/>
          <w:right w:w="0" w:type="dxa"/>
        </w:tblCellMar>
      </w:tblPr>
      <w:tblGrid>
        <w:gridCol w:w="4153"/>
        <w:gridCol w:w="4153"/>
      </w:tblGrid>
      <w:tr w14:paraId="7665CD87">
        <w:tblPrEx>
          <w:tblCellMar>
            <w:top w:w="0" w:type="dxa"/>
            <w:left w:w="0" w:type="dxa"/>
            <w:bottom w:w="0" w:type="dxa"/>
            <w:right w:w="0" w:type="dxa"/>
          </w:tblCellMar>
        </w:tblPrEx>
        <w:tc>
          <w:tcPr>
            <w:tcW w:w="2500" w:type="pct"/>
          </w:tcPr>
          <w:p w14:paraId="330CA93A">
            <w:pPr>
              <w:widowControl/>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甲方（采购人）：（盖章）</w:t>
            </w:r>
          </w:p>
        </w:tc>
        <w:tc>
          <w:tcPr>
            <w:tcW w:w="2500" w:type="pct"/>
          </w:tcPr>
          <w:p w14:paraId="5B59006C">
            <w:pPr>
              <w:widowControl/>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乙方（供应商）：（盖章）</w:t>
            </w:r>
          </w:p>
        </w:tc>
      </w:tr>
      <w:tr w14:paraId="57ED7BC7">
        <w:tblPrEx>
          <w:tblCellMar>
            <w:top w:w="0" w:type="dxa"/>
            <w:left w:w="0" w:type="dxa"/>
            <w:bottom w:w="0" w:type="dxa"/>
            <w:right w:w="0" w:type="dxa"/>
          </w:tblCellMar>
        </w:tblPrEx>
        <w:tc>
          <w:tcPr>
            <w:tcW w:w="2500" w:type="pct"/>
          </w:tcPr>
          <w:p w14:paraId="662891DD">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代表人：</w:t>
            </w:r>
          </w:p>
        </w:tc>
        <w:tc>
          <w:tcPr>
            <w:tcW w:w="2500" w:type="pct"/>
          </w:tcPr>
          <w:p w14:paraId="010B8DA6">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代表人</w:t>
            </w:r>
            <w:r>
              <w:rPr>
                <w:rFonts w:hint="eastAsia" w:ascii="宋体" w:hAnsi="宋体" w:cs="宋体"/>
                <w:color w:val="000000"/>
                <w:kern w:val="0"/>
                <w:sz w:val="24"/>
              </w:rPr>
              <w:t>：</w:t>
            </w:r>
          </w:p>
        </w:tc>
      </w:tr>
      <w:tr w14:paraId="3835B976">
        <w:tblPrEx>
          <w:tblCellMar>
            <w:top w:w="0" w:type="dxa"/>
            <w:left w:w="0" w:type="dxa"/>
            <w:bottom w:w="0" w:type="dxa"/>
            <w:right w:w="0" w:type="dxa"/>
          </w:tblCellMar>
        </w:tblPrEx>
        <w:tc>
          <w:tcPr>
            <w:tcW w:w="2500" w:type="pct"/>
          </w:tcPr>
          <w:p w14:paraId="1054F24C">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电</w:t>
            </w:r>
            <w:r>
              <w:rPr>
                <w:rFonts w:hint="eastAsia" w:ascii="宋体" w:hAnsi="宋体"/>
                <w:color w:val="000000"/>
                <w:kern w:val="0"/>
                <w:sz w:val="24"/>
              </w:rPr>
              <w:t xml:space="preserve">    </w:t>
            </w:r>
            <w:r>
              <w:rPr>
                <w:rFonts w:hint="eastAsia" w:ascii="宋体" w:hAnsi="宋体" w:cs="宋体"/>
                <w:color w:val="000000"/>
                <w:kern w:val="0"/>
                <w:sz w:val="24"/>
                <w:lang w:val="zh-CN"/>
              </w:rPr>
              <w:t>话：</w:t>
            </w:r>
          </w:p>
        </w:tc>
        <w:tc>
          <w:tcPr>
            <w:tcW w:w="2500" w:type="pct"/>
          </w:tcPr>
          <w:p w14:paraId="1813D10D">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电</w:t>
            </w:r>
            <w:r>
              <w:rPr>
                <w:rFonts w:hint="eastAsia" w:ascii="宋体" w:hAnsi="宋体"/>
                <w:color w:val="000000"/>
                <w:kern w:val="0"/>
                <w:sz w:val="24"/>
              </w:rPr>
              <w:t xml:space="preserve">    </w:t>
            </w:r>
            <w:r>
              <w:rPr>
                <w:rFonts w:hint="eastAsia" w:ascii="宋体" w:hAnsi="宋体" w:cs="宋体"/>
                <w:color w:val="000000"/>
                <w:kern w:val="0"/>
                <w:sz w:val="24"/>
                <w:lang w:val="zh-CN"/>
              </w:rPr>
              <w:t>话：</w:t>
            </w:r>
          </w:p>
        </w:tc>
      </w:tr>
      <w:tr w14:paraId="197D61E4">
        <w:tblPrEx>
          <w:tblCellMar>
            <w:top w:w="0" w:type="dxa"/>
            <w:left w:w="0" w:type="dxa"/>
            <w:bottom w:w="0" w:type="dxa"/>
            <w:right w:w="0" w:type="dxa"/>
          </w:tblCellMar>
        </w:tblPrEx>
        <w:tc>
          <w:tcPr>
            <w:tcW w:w="2500" w:type="pct"/>
          </w:tcPr>
          <w:p w14:paraId="68A30C3B">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开户银行：</w:t>
            </w:r>
          </w:p>
        </w:tc>
        <w:tc>
          <w:tcPr>
            <w:tcW w:w="2500" w:type="pct"/>
          </w:tcPr>
          <w:p w14:paraId="3D134AEE">
            <w:pPr>
              <w:widowControl/>
              <w:adjustRightInd w:val="0"/>
              <w:spacing w:line="360" w:lineRule="auto"/>
              <w:jc w:val="left"/>
              <w:rPr>
                <w:rFonts w:ascii="宋体" w:cs="宋体"/>
                <w:color w:val="000000"/>
                <w:kern w:val="0"/>
                <w:sz w:val="24"/>
              </w:rPr>
            </w:pPr>
            <w:r>
              <w:rPr>
                <w:rFonts w:hint="eastAsia" w:ascii="宋体" w:hAnsi="宋体" w:cs="宋体"/>
                <w:color w:val="000000"/>
                <w:kern w:val="0"/>
                <w:sz w:val="24"/>
                <w:lang w:val="zh-CN"/>
              </w:rPr>
              <w:t>开户银行：</w:t>
            </w:r>
          </w:p>
        </w:tc>
      </w:tr>
      <w:tr w14:paraId="2842729E">
        <w:tblPrEx>
          <w:tblCellMar>
            <w:top w:w="0" w:type="dxa"/>
            <w:left w:w="0" w:type="dxa"/>
            <w:bottom w:w="0" w:type="dxa"/>
            <w:right w:w="0" w:type="dxa"/>
          </w:tblCellMar>
        </w:tblPrEx>
        <w:tc>
          <w:tcPr>
            <w:tcW w:w="2500" w:type="pct"/>
          </w:tcPr>
          <w:p w14:paraId="215B281A">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帐</w:t>
            </w:r>
            <w:r>
              <w:rPr>
                <w:rFonts w:hint="eastAsia" w:ascii="宋体" w:hAnsi="宋体"/>
                <w:color w:val="000000"/>
                <w:kern w:val="0"/>
                <w:sz w:val="24"/>
              </w:rPr>
              <w:t xml:space="preserve">    </w:t>
            </w:r>
            <w:r>
              <w:rPr>
                <w:rFonts w:hint="eastAsia" w:ascii="宋体" w:hAnsi="宋体" w:cs="宋体"/>
                <w:color w:val="000000"/>
                <w:kern w:val="0"/>
                <w:sz w:val="24"/>
                <w:lang w:val="zh-CN"/>
              </w:rPr>
              <w:t>号：</w:t>
            </w:r>
          </w:p>
          <w:p w14:paraId="577EF723">
            <w:pPr>
              <w:widowControl/>
              <w:adjustRightInd w:val="0"/>
              <w:spacing w:line="360" w:lineRule="auto"/>
              <w:jc w:val="left"/>
              <w:rPr>
                <w:rFonts w:ascii="宋体" w:hAnsi="宋体" w:cs="宋体"/>
                <w:color w:val="000000"/>
                <w:kern w:val="0"/>
                <w:sz w:val="24"/>
                <w:lang w:val="zh-CN"/>
              </w:rPr>
            </w:pPr>
          </w:p>
          <w:p w14:paraId="03D32FE3">
            <w:pPr>
              <w:widowControl/>
              <w:adjustRightInd w:val="0"/>
              <w:spacing w:line="360" w:lineRule="auto"/>
              <w:jc w:val="left"/>
              <w:rPr>
                <w:rFonts w:ascii="宋体" w:cs="宋体"/>
                <w:color w:val="000000"/>
                <w:kern w:val="0"/>
                <w:sz w:val="24"/>
              </w:rPr>
            </w:pPr>
          </w:p>
        </w:tc>
        <w:tc>
          <w:tcPr>
            <w:tcW w:w="2500" w:type="pct"/>
          </w:tcPr>
          <w:p w14:paraId="3560ABCA">
            <w:pPr>
              <w:widowControl/>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帐</w:t>
            </w:r>
            <w:r>
              <w:rPr>
                <w:rFonts w:hint="eastAsia" w:ascii="宋体" w:hAnsi="宋体"/>
                <w:color w:val="000000"/>
                <w:kern w:val="0"/>
                <w:sz w:val="24"/>
              </w:rPr>
              <w:t xml:space="preserve">    </w:t>
            </w:r>
            <w:r>
              <w:rPr>
                <w:rFonts w:hint="eastAsia" w:ascii="宋体" w:hAnsi="宋体" w:cs="宋体"/>
                <w:color w:val="000000"/>
                <w:kern w:val="0"/>
                <w:sz w:val="24"/>
                <w:lang w:val="zh-CN"/>
              </w:rPr>
              <w:t>号：</w:t>
            </w:r>
          </w:p>
          <w:p w14:paraId="42DC319F">
            <w:pPr>
              <w:widowControl/>
              <w:adjustRightInd w:val="0"/>
              <w:spacing w:line="360" w:lineRule="auto"/>
              <w:jc w:val="left"/>
              <w:rPr>
                <w:rFonts w:ascii="宋体" w:hAnsi="宋体" w:cs="宋体"/>
                <w:color w:val="000000"/>
                <w:kern w:val="0"/>
                <w:sz w:val="24"/>
                <w:lang w:val="zh-CN"/>
              </w:rPr>
            </w:pPr>
          </w:p>
        </w:tc>
      </w:tr>
      <w:tr w14:paraId="59844208">
        <w:tblPrEx>
          <w:tblCellMar>
            <w:top w:w="0" w:type="dxa"/>
            <w:left w:w="0" w:type="dxa"/>
            <w:bottom w:w="0" w:type="dxa"/>
            <w:right w:w="0" w:type="dxa"/>
          </w:tblCellMar>
        </w:tblPrEx>
        <w:tc>
          <w:tcPr>
            <w:tcW w:w="2500" w:type="pct"/>
          </w:tcPr>
          <w:p w14:paraId="3989E7F5">
            <w:pPr>
              <w:widowControl/>
              <w:adjustRightInd w:val="0"/>
              <w:spacing w:line="360" w:lineRule="auto"/>
              <w:jc w:val="left"/>
              <w:rPr>
                <w:rFonts w:ascii="宋体" w:cs="宋体"/>
                <w:color w:val="000000"/>
                <w:kern w:val="0"/>
                <w:sz w:val="24"/>
                <w:lang w:val="zh-CN"/>
              </w:rPr>
            </w:pPr>
            <w:r>
              <w:rPr>
                <w:rFonts w:hint="eastAsia" w:ascii="宋体" w:hAnsi="宋体" w:cs="宋体"/>
                <w:color w:val="000000"/>
                <w:kern w:val="0"/>
                <w:sz w:val="24"/>
                <w:lang w:val="zh-CN"/>
              </w:rPr>
              <w:t>采购代理机构：（盖章）</w:t>
            </w:r>
          </w:p>
          <w:p w14:paraId="154FC72A">
            <w:pPr>
              <w:widowControl/>
              <w:adjustRightInd w:val="0"/>
              <w:spacing w:line="360" w:lineRule="auto"/>
              <w:jc w:val="left"/>
              <w:rPr>
                <w:rFonts w:ascii="宋体" w:cs="宋体"/>
                <w:color w:val="000000"/>
                <w:kern w:val="0"/>
                <w:sz w:val="24"/>
                <w:lang w:val="zh-CN"/>
              </w:rPr>
            </w:pPr>
            <w:r>
              <w:rPr>
                <w:rFonts w:hint="eastAsia" w:ascii="宋体" w:cs="宋体"/>
                <w:color w:val="000000"/>
                <w:kern w:val="0"/>
                <w:sz w:val="24"/>
                <w:lang w:val="zh-CN"/>
              </w:rPr>
              <w:t>项目负责人：</w:t>
            </w:r>
          </w:p>
        </w:tc>
        <w:tc>
          <w:tcPr>
            <w:tcW w:w="2500" w:type="pct"/>
          </w:tcPr>
          <w:p w14:paraId="74F1A22F">
            <w:pPr>
              <w:widowControl/>
              <w:adjustRightInd w:val="0"/>
              <w:spacing w:line="360" w:lineRule="auto"/>
              <w:jc w:val="left"/>
              <w:rPr>
                <w:rFonts w:ascii="宋体" w:cs="宋体"/>
                <w:color w:val="000000"/>
                <w:kern w:val="0"/>
                <w:sz w:val="24"/>
                <w:lang w:val="zh-CN"/>
              </w:rPr>
            </w:pPr>
          </w:p>
        </w:tc>
      </w:tr>
      <w:tr w14:paraId="4831C985">
        <w:tblPrEx>
          <w:tblCellMar>
            <w:top w:w="0" w:type="dxa"/>
            <w:left w:w="0" w:type="dxa"/>
            <w:bottom w:w="0" w:type="dxa"/>
            <w:right w:w="0" w:type="dxa"/>
          </w:tblCellMar>
        </w:tblPrEx>
        <w:tc>
          <w:tcPr>
            <w:tcW w:w="2500" w:type="pct"/>
          </w:tcPr>
          <w:p w14:paraId="6754D93A">
            <w:pPr>
              <w:widowControl/>
              <w:adjustRightInd w:val="0"/>
              <w:spacing w:line="360" w:lineRule="auto"/>
              <w:jc w:val="left"/>
              <w:rPr>
                <w:rFonts w:ascii="宋体" w:cs="宋体"/>
                <w:color w:val="000000"/>
                <w:kern w:val="0"/>
                <w:sz w:val="24"/>
                <w:lang w:val="zh-CN"/>
              </w:rPr>
            </w:pPr>
          </w:p>
        </w:tc>
        <w:tc>
          <w:tcPr>
            <w:tcW w:w="2500" w:type="pct"/>
          </w:tcPr>
          <w:p w14:paraId="4E44E2A3">
            <w:pPr>
              <w:widowControl/>
              <w:adjustRightInd w:val="0"/>
              <w:spacing w:line="360" w:lineRule="auto"/>
              <w:jc w:val="left"/>
              <w:rPr>
                <w:rFonts w:ascii="宋体" w:cs="宋体"/>
                <w:color w:val="000000"/>
                <w:kern w:val="0"/>
                <w:sz w:val="24"/>
                <w:lang w:val="zh-CN"/>
              </w:rPr>
            </w:pPr>
          </w:p>
        </w:tc>
      </w:tr>
      <w:tr w14:paraId="27AEC7F9">
        <w:tblPrEx>
          <w:tblCellMar>
            <w:top w:w="0" w:type="dxa"/>
            <w:left w:w="0" w:type="dxa"/>
            <w:bottom w:w="0" w:type="dxa"/>
            <w:right w:w="0" w:type="dxa"/>
          </w:tblCellMar>
        </w:tblPrEx>
        <w:tc>
          <w:tcPr>
            <w:tcW w:w="2500" w:type="pct"/>
          </w:tcPr>
          <w:p w14:paraId="052CBFF3">
            <w:pPr>
              <w:widowControl/>
              <w:adjustRightInd w:val="0"/>
              <w:spacing w:line="360" w:lineRule="auto"/>
              <w:jc w:val="left"/>
              <w:rPr>
                <w:rFonts w:ascii="宋体" w:cs="宋体"/>
                <w:color w:val="000000"/>
                <w:kern w:val="0"/>
                <w:sz w:val="24"/>
                <w:lang w:val="zh-CN"/>
              </w:rPr>
            </w:pPr>
            <w:r>
              <w:rPr>
                <w:rFonts w:hint="eastAsia" w:ascii="宋体" w:cs="宋体"/>
                <w:color w:val="000000"/>
                <w:kern w:val="0"/>
                <w:sz w:val="24"/>
                <w:lang w:val="zh-CN"/>
              </w:rPr>
              <w:t>日      期：     年    月    日</w:t>
            </w:r>
          </w:p>
        </w:tc>
        <w:tc>
          <w:tcPr>
            <w:tcW w:w="2500" w:type="pct"/>
          </w:tcPr>
          <w:p w14:paraId="4757CF5A">
            <w:pPr>
              <w:widowControl/>
              <w:adjustRightInd w:val="0"/>
              <w:spacing w:line="360" w:lineRule="auto"/>
              <w:jc w:val="left"/>
              <w:rPr>
                <w:rFonts w:ascii="宋体" w:cs="宋体"/>
                <w:color w:val="000000"/>
                <w:kern w:val="0"/>
                <w:sz w:val="24"/>
                <w:lang w:val="zh-CN"/>
              </w:rPr>
            </w:pPr>
          </w:p>
        </w:tc>
      </w:tr>
    </w:tbl>
    <w:p w14:paraId="7FFECB26">
      <w:pPr>
        <w:widowControl/>
        <w:jc w:val="left"/>
        <w:rPr>
          <w:rFonts w:ascii="楷体_GB2312" w:eastAsia="楷体_GB2312"/>
          <w:sz w:val="28"/>
          <w:szCs w:val="28"/>
        </w:rPr>
      </w:pPr>
    </w:p>
    <w:p w14:paraId="1297189A">
      <w:pPr>
        <w:pStyle w:val="3"/>
        <w:adjustRightInd w:val="0"/>
        <w:snapToGrid w:val="0"/>
        <w:spacing w:before="312" w:beforeLines="100" w:after="312" w:afterLines="100"/>
        <w:rPr>
          <w:rFonts w:ascii="华文中宋" w:hAnsi="华文中宋" w:eastAsia="华文中宋"/>
          <w:b/>
          <w:sz w:val="36"/>
          <w:szCs w:val="36"/>
        </w:rPr>
      </w:pPr>
    </w:p>
    <w:p w14:paraId="3A713788">
      <w:pPr>
        <w:pStyle w:val="3"/>
        <w:adjustRightInd w:val="0"/>
        <w:snapToGrid w:val="0"/>
        <w:spacing w:before="312" w:beforeLines="100" w:after="312" w:afterLines="100"/>
        <w:rPr>
          <w:rFonts w:ascii="华文中宋" w:hAnsi="华文中宋" w:eastAsia="华文中宋"/>
          <w:b/>
          <w:sz w:val="36"/>
          <w:szCs w:val="36"/>
        </w:rPr>
      </w:pPr>
    </w:p>
    <w:p w14:paraId="5B6DAE0C">
      <w:pPr>
        <w:pStyle w:val="3"/>
        <w:adjustRightInd w:val="0"/>
        <w:snapToGrid w:val="0"/>
        <w:spacing w:before="312" w:beforeLines="100" w:after="312" w:afterLines="100"/>
        <w:rPr>
          <w:rFonts w:ascii="华文中宋" w:hAnsi="华文中宋" w:eastAsia="华文中宋"/>
          <w:b/>
          <w:sz w:val="36"/>
          <w:szCs w:val="36"/>
        </w:rPr>
      </w:pPr>
    </w:p>
    <w:p w14:paraId="206DDC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ZGMyOTNmY2RkYWYwOTg4NzE1MmRlMDkwNDhkMTUifQ=="/>
  </w:docVars>
  <w:rsids>
    <w:rsidRoot w:val="00091684"/>
    <w:rsid w:val="00091684"/>
    <w:rsid w:val="000D1873"/>
    <w:rsid w:val="004A20D3"/>
    <w:rsid w:val="00906FB4"/>
    <w:rsid w:val="00D32A09"/>
    <w:rsid w:val="1C3C2244"/>
    <w:rsid w:val="401F0E25"/>
    <w:rsid w:val="43FF1225"/>
    <w:rsid w:val="4665558C"/>
    <w:rsid w:val="4E632ACC"/>
    <w:rsid w:val="5206223F"/>
    <w:rsid w:val="589F492D"/>
    <w:rsid w:val="7B9A0547"/>
    <w:rsid w:val="7DA9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楷体_GB2312" w:eastAsia="楷体_GB2312"/>
      <w:sz w:val="28"/>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41"/>
    <w:basedOn w:val="1"/>
    <w:next w:val="1"/>
    <w:autoRedefine/>
    <w:qFormat/>
    <w:uiPriority w:val="99"/>
    <w:pPr>
      <w:keepNext/>
      <w:keepLines/>
      <w:spacing w:line="360" w:lineRule="exact"/>
      <w:outlineLvl w:val="3"/>
    </w:pPr>
    <w:rPr>
      <w:rFonts w:asciiTheme="minorEastAsia" w:hAnsiTheme="minorEastAsia"/>
      <w:b/>
      <w:szCs w:val="21"/>
    </w:rPr>
  </w:style>
  <w:style w:type="paragraph" w:styleId="4">
    <w:name w:val="Plain Text"/>
    <w:basedOn w:val="1"/>
    <w:qFormat/>
    <w:uiPriority w:val="0"/>
    <w:rPr>
      <w:rFonts w:ascii="宋体" w:hAnsi="Courier New" w:cs="Courier New"/>
      <w:szCs w:val="21"/>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Calibri" w:hAnsi="Calibri"/>
      <w:kern w:val="2"/>
      <w:sz w:val="18"/>
      <w:szCs w:val="18"/>
    </w:rPr>
  </w:style>
  <w:style w:type="character" w:customStyle="1" w:styleId="11">
    <w:name w:val="页脚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3478</Words>
  <Characters>3566</Characters>
  <Lines>27</Lines>
  <Paragraphs>7</Paragraphs>
  <TotalTime>3</TotalTime>
  <ScaleCrop>false</ScaleCrop>
  <LinksUpToDate>false</LinksUpToDate>
  <CharactersWithSpaces>3776</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2024-10-31T01:15:00Z</dcterms:created>
  <dc:creator>Administrator</dc:creator>
  <cp:lastModifiedBy>Admini</cp:lastModifiedBy>
  <dcterms:modified xsi:type="dcterms:W3CDTF">2025-07-21T08:30:22Z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E46CE2BF3BE64077A397D4D343276AD5_13</vt:lpwstr>
  </property>
  <property fmtid="{D5CDD505-2E9C-101B-9397-08002B2CF9AE}" pid="4" name="KSOTemplateDocerSaveRecord">
    <vt:lpwstr>eyJoZGlkIjoiZTcwMDVmOWE4NjNmZTAzZWY2M2FjMzkwZjY3M2QzNjgifQ==</vt:lpwstr>
  </property>
</Properties>
</file>