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" w:line="334" w:lineRule="auto"/>
        <w:ind w:right="57" w:firstLine="0"/>
        <w:jc w:val="center"/>
        <w:rPr>
          <w:rFonts w:ascii="方正小标宋_GBK" w:hAnsi="黑体" w:eastAsia="方正小标宋_GBK" w:cs="宋体"/>
          <w:sz w:val="36"/>
          <w:szCs w:val="36"/>
        </w:rPr>
      </w:pPr>
      <w:r>
        <w:rPr>
          <w:rFonts w:hint="eastAsia" w:ascii="方正小标宋_GBK" w:hAnsi="Arial" w:eastAsia="方正小标宋_GBK" w:cs="Arial"/>
          <w:b/>
          <w:bCs/>
          <w:kern w:val="44"/>
          <w:sz w:val="36"/>
          <w:szCs w:val="36"/>
        </w:rPr>
        <w:t>江宁校区校史长廊和教学楼文化墙设计制作项目</w:t>
      </w:r>
    </w:p>
    <w:p>
      <w:pPr>
        <w:spacing w:after="4" w:line="334" w:lineRule="auto"/>
        <w:ind w:right="57" w:firstLine="0"/>
        <w:jc w:val="center"/>
        <w:rPr>
          <w:rFonts w:ascii="方正小标宋_GBK" w:hAnsi="黑体" w:eastAsia="方正小标宋_GBK" w:cs="宋体"/>
          <w:b/>
          <w:bCs/>
          <w:sz w:val="36"/>
          <w:szCs w:val="36"/>
        </w:rPr>
      </w:pPr>
      <w:r>
        <w:rPr>
          <w:rFonts w:hint="eastAsia" w:ascii="方正小标宋_GBK" w:hAnsi="黑体" w:eastAsia="方正小标宋_GBK" w:cs="宋体"/>
          <w:b/>
          <w:bCs/>
          <w:sz w:val="36"/>
          <w:szCs w:val="36"/>
        </w:rPr>
        <w:t>综合评分法</w:t>
      </w:r>
    </w:p>
    <w:p>
      <w:pPr>
        <w:spacing w:after="4" w:line="334" w:lineRule="auto"/>
        <w:ind w:left="32" w:leftChars="10" w:right="57" w:firstLine="360" w:firstLineChars="200"/>
        <w:rPr>
          <w:rFonts w:ascii="Times New Roman" w:hAnsi="Times New Roman" w:eastAsia="Times New Roman" w:cs="Times New Roman"/>
          <w:sz w:val="18"/>
        </w:rPr>
      </w:pPr>
    </w:p>
    <w:tbl>
      <w:tblPr>
        <w:tblStyle w:val="5"/>
        <w:tblW w:w="97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87"/>
        <w:gridCol w:w="850"/>
        <w:gridCol w:w="6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both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评标项目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评审内容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分值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价格部分</w:t>
            </w:r>
          </w:p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(12分)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投标标价格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12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.评标基准价的确定：价格得分采用低价优先法计算，即满足招标文件要求且投标价格最低的投标报价为评标基准价，其价格分为满分12分。其他投标人的价格得分按照下列公式计算：投标报价得分=(评标基准价/投标报价)×</w:t>
            </w:r>
            <w:r>
              <w:rPr>
                <w:rFonts w:cs="宋体"/>
                <w:sz w:val="28"/>
                <w:szCs w:val="28"/>
              </w:rPr>
              <w:t>30</w:t>
            </w:r>
            <w:r>
              <w:rPr>
                <w:rFonts w:hint="eastAsia" w:cs="宋体"/>
                <w:sz w:val="28"/>
                <w:szCs w:val="28"/>
              </w:rPr>
              <w:t>。（得分采用四舍五入，保留两位小数）</w:t>
            </w:r>
          </w:p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2.若投标报价超出招标控制价，则作为无效标处理。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综合部分</w:t>
            </w:r>
            <w:r>
              <w:rPr>
                <w:rFonts w:cs="宋体"/>
                <w:sz w:val="28"/>
                <w:szCs w:val="28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18分</w:t>
            </w:r>
            <w:r>
              <w:rPr>
                <w:rFonts w:cs="宋体"/>
                <w:sz w:val="28"/>
                <w:szCs w:val="28"/>
              </w:rPr>
              <w:t>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公司业绩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4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自2019年以来，投标</w:t>
            </w:r>
            <w:bookmarkStart w:id="0" w:name="_GoBack"/>
            <w:bookmarkEnd w:id="0"/>
            <w:r>
              <w:rPr>
                <w:rFonts w:hint="eastAsia" w:cs="宋体"/>
                <w:sz w:val="28"/>
                <w:szCs w:val="28"/>
              </w:rPr>
              <w:t>单位的业绩</w:t>
            </w:r>
          </w:p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设计单位有高校服务案例，</w:t>
            </w:r>
            <w:r>
              <w:rPr>
                <w:rFonts w:hint="eastAsia" w:cs="宋体"/>
                <w:sz w:val="28"/>
                <w:szCs w:val="28"/>
              </w:rPr>
              <w:t>设计单位提供对类似校史长廊、校园文化墙设计并被学校采用的成果。无成果得0分；1件得1分；2件得2分；3件及以上得4分。（提供合同1个合同得1分）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cs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现场展示汇报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展示汇报创意新颖</w:t>
            </w:r>
            <w:r>
              <w:rPr>
                <w:rFonts w:cs="宋体"/>
                <w:sz w:val="28"/>
                <w:szCs w:val="28"/>
              </w:rPr>
              <w:t>、结构清晰、</w:t>
            </w:r>
            <w:r>
              <w:rPr>
                <w:rFonts w:hint="eastAsia" w:cs="宋体"/>
                <w:sz w:val="28"/>
                <w:szCs w:val="28"/>
              </w:rPr>
              <w:t>内容丰富、</w:t>
            </w:r>
            <w:r>
              <w:rPr>
                <w:rFonts w:cs="宋体"/>
                <w:sz w:val="28"/>
                <w:szCs w:val="28"/>
              </w:rPr>
              <w:t>画面精</w:t>
            </w:r>
            <w:r>
              <w:rPr>
                <w:rFonts w:hint="eastAsia" w:cs="宋体"/>
                <w:sz w:val="28"/>
                <w:szCs w:val="28"/>
              </w:rPr>
              <w:t>美，优良得</w:t>
            </w:r>
            <w:r>
              <w:rPr>
                <w:rFonts w:cs="宋体"/>
                <w:sz w:val="28"/>
                <w:szCs w:val="28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0分，中等得5分，一般得1分。没有提供展示效果图作品的，此项不得分。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主创团队资质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4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主创</w:t>
            </w:r>
            <w:r>
              <w:rPr>
                <w:rFonts w:hint="eastAsia" w:cs="宋体"/>
                <w:color w:val="auto"/>
                <w:sz w:val="28"/>
                <w:szCs w:val="28"/>
              </w:rPr>
              <w:t>人员（含公司）具备平面设计师资格证书或专业类获奖证书，每个</w:t>
            </w:r>
            <w:r>
              <w:rPr>
                <w:rFonts w:hint="eastAsia" w:cs="宋体"/>
                <w:sz w:val="28"/>
                <w:szCs w:val="28"/>
              </w:rPr>
              <w:t>加2分，此项最高分4分，提供投标人为主创人员缴纳的近三个月社保缴费记录。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方案设计（70分）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设计方案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70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评委针对投标人对本项目的设计方案的合理性、技术创新性、设计操作性及效果等着综合评定，打分范围20-70分。整体规划方案，根据质量和效果给分。</w:t>
            </w:r>
          </w:p>
          <w:p>
            <w:pPr>
              <w:numPr>
                <w:ilvl w:val="0"/>
                <w:numId w:val="1"/>
              </w:num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有较高艺术水准和视觉冲击力，主题鲜明，体现学校办学理念和特色文化，设计方案与环境相协调。优秀得30分、良好得25分、中等得20分、一般得15分；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2.校史长廊与教学楼文化墙设计，包括名称、设计构思、色彩、材质、规格尺寸、投资估算、整体构造等要素，优秀得20分、良好得15分、中等得10分、一般得5分；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3.设计方案的创新性、合理性、可实施性。综合评分优秀得20分，良好得15分，中等得10分；一般得5分。</w:t>
            </w:r>
          </w:p>
        </w:tc>
      </w:tr>
    </w:tbl>
    <w:p>
      <w:pPr>
        <w:ind w:firstLine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653768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70" w:lineRule="auto"/>
      </w:pPr>
      <w:r>
        <w:separator/>
      </w:r>
    </w:p>
  </w:footnote>
  <w:footnote w:type="continuationSeparator" w:id="1">
    <w:p>
      <w:pPr>
        <w:spacing w:before="0" w:after="0" w:line="37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014CC9"/>
    <w:multiLevelType w:val="singleLevel"/>
    <w:tmpl w:val="D9014C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00526BD7"/>
    <w:rsid w:val="00087D2E"/>
    <w:rsid w:val="00161910"/>
    <w:rsid w:val="001933CB"/>
    <w:rsid w:val="001B3FF0"/>
    <w:rsid w:val="001E1D59"/>
    <w:rsid w:val="001F7867"/>
    <w:rsid w:val="00242D1E"/>
    <w:rsid w:val="002803C0"/>
    <w:rsid w:val="002C1489"/>
    <w:rsid w:val="003E1A20"/>
    <w:rsid w:val="004A135B"/>
    <w:rsid w:val="00526BD7"/>
    <w:rsid w:val="0061738A"/>
    <w:rsid w:val="006A0C75"/>
    <w:rsid w:val="00810507"/>
    <w:rsid w:val="00853D45"/>
    <w:rsid w:val="008F6146"/>
    <w:rsid w:val="00940D13"/>
    <w:rsid w:val="00B02747"/>
    <w:rsid w:val="00D005D2"/>
    <w:rsid w:val="00DC1B19"/>
    <w:rsid w:val="00DE3716"/>
    <w:rsid w:val="22746836"/>
    <w:rsid w:val="2883045A"/>
    <w:rsid w:val="28B974BA"/>
    <w:rsid w:val="2AB93393"/>
    <w:rsid w:val="3B027C20"/>
    <w:rsid w:val="7342218F"/>
    <w:rsid w:val="77B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70" w:lineRule="auto"/>
      <w:ind w:firstLine="633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kern w:val="0"/>
      <w:sz w:val="24"/>
    </w:rPr>
  </w:style>
  <w:style w:type="character" w:customStyle="1" w:styleId="7">
    <w:name w:val="页脚字符"/>
    <w:basedOn w:val="6"/>
    <w:link w:val="2"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8">
    <w:name w:val="页眉字符"/>
    <w:basedOn w:val="6"/>
    <w:link w:val="3"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746</Characters>
  <Lines>5</Lines>
  <Paragraphs>1</Paragraphs>
  <TotalTime>13</TotalTime>
  <ScaleCrop>false</ScaleCrop>
  <LinksUpToDate>false</LinksUpToDate>
  <CharactersWithSpaces>746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2022-05-24T14:44:00Z</dcterms:created>
  <dc:creator>Microsoft 帐户</dc:creator>
  <cp:lastModifiedBy>胡大人</cp:lastModifiedBy>
  <dcterms:modified xsi:type="dcterms:W3CDTF">2022-10-11T06:08:36Z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45869F4F6E944F8B8168D8E618EACC91</vt:lpwstr>
  </property>
</Properties>
</file>